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D" w:rsidRPr="00E538AD" w:rsidRDefault="00E538AD" w:rsidP="00E538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538AD">
        <w:rPr>
          <w:rFonts w:ascii="Arial" w:eastAsia="Times New Roman" w:hAnsi="Arial" w:cs="Arial"/>
          <w:b/>
          <w:bCs/>
          <w:color w:val="202122"/>
          <w:sz w:val="15"/>
          <w:szCs w:val="15"/>
        </w:rPr>
        <w:t>Биланс</w:t>
      </w:r>
      <w:proofErr w:type="spellEnd"/>
      <w:r w:rsidRPr="00E538AD">
        <w:rPr>
          <w:rFonts w:ascii="Arial" w:eastAsia="Times New Roman" w:hAnsi="Arial" w:cs="Arial"/>
          <w:b/>
          <w:bCs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b/>
          <w:bCs/>
          <w:color w:val="202122"/>
          <w:sz w:val="15"/>
          <w:szCs w:val="15"/>
        </w:rPr>
        <w:t>токова</w:t>
      </w:r>
      <w:proofErr w:type="spellEnd"/>
      <w:r w:rsidRPr="00E538AD">
        <w:rPr>
          <w:rFonts w:ascii="Arial" w:eastAsia="Times New Roman" w:hAnsi="Arial" w:cs="Arial"/>
          <w:b/>
          <w:bCs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b/>
          <w:bCs/>
          <w:color w:val="202122"/>
          <w:sz w:val="15"/>
          <w:szCs w:val="15"/>
        </w:rPr>
        <w:t>готовине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(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Извјештај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о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готовине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)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основни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"https://sr.wikipedia.org/wiki/%D0%A4%D0%B8%D0%BD%D0%B0%D0%BD%D1%81%D0%B8%D1%98%D1%81%D0%BA%D0%B8_%D0%B8%D0%B7%D0%B2%D0%B5%D1%88%D1%82%D0%B0%D1%98" \o "Финансијски извештај"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финансијски</w:t>
      </w:r>
      <w:proofErr w:type="spellEnd"/>
      <w:r w:rsidRPr="00E538AD">
        <w:rPr>
          <w:rFonts w:ascii="Arial" w:eastAsia="Times New Roman" w:hAnsi="Arial" w:cs="Arial"/>
          <w:color w:val="0B0080"/>
          <w:sz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0B0080"/>
          <w:sz w:val="15"/>
        </w:rPr>
        <w:t>извјештај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који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свеобухватно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приказује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"https://sr.wikipedia.org/wiki/%D0%9D%D0%BE%D0%B2%D0%B0%D1%86" \o "Новац"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новчане</w:t>
      </w:r>
      <w:proofErr w:type="spellEnd"/>
      <w:r w:rsidRPr="00E538AD">
        <w:rPr>
          <w:rFonts w:ascii="Arial" w:eastAsia="Times New Roman" w:hAnsi="Arial" w:cs="Arial"/>
          <w:color w:val="0B0080"/>
          <w:sz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0B0080"/>
          <w:sz w:val="15"/>
        </w:rPr>
        <w:t>ефекте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проистекле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пословних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инвестиционих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финансијских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предузећа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одређеном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временском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периоду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.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Информације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о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готовине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корисне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пружању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основе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интерним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екстерним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корисницима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финансијских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извјештаја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за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процјењивање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способности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"https://sr.wikipedia.org/wiki/%D0%9F%D1%80%D0%B5%D0%B4%D1%83%D0%B7%D0%B5%D1%9B%D0%B5" \o "Предузеће"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предузећа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генерише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готовину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потребе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предузећа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"https://sr.wikipedia.org/w/index.php?title=%D0%93%D0%BE%D1%82%D0%BE%D0%B2%D0%B8%D0%BD%D0%B0&amp;action=edit&amp;redlink=1" \o "Готовина (страница не постоји)"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A55858"/>
          <w:sz w:val="15"/>
        </w:rPr>
        <w:t>готовину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користи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. </w:t>
      </w:r>
      <w:proofErr w:type="spellStart"/>
      <w:proofErr w:type="gram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Омогућава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оцјену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"https://sr.wikipedia.org/wiki/%D0%9B%D0%B8%D0%BA%D0%B2%D0%B8%D0%B4%D0%BD%D0%BE%D1%81%D1%82" \o "Ликвидност"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ликвидности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 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претходном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периоду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пројекцију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новчаних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за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наредни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обрачунски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период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</w:p>
    <w:p w:rsidR="00E538AD" w:rsidRPr="00E538AD" w:rsidRDefault="00E538AD" w:rsidP="00E538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За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састављање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овог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извјештаја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директној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методи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која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примјењује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нашим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предузећима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користи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"https://sr.wikipedia.org/wiki/Bilans_stanja" \o "Bilans stanja"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биланс</w:t>
      </w:r>
      <w:proofErr w:type="spellEnd"/>
      <w:r w:rsidRPr="00E538AD">
        <w:rPr>
          <w:rFonts w:ascii="Arial" w:eastAsia="Times New Roman" w:hAnsi="Arial" w:cs="Arial"/>
          <w:color w:val="0B0080"/>
          <w:sz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0B0080"/>
          <w:sz w:val="15"/>
        </w:rPr>
        <w:t>стања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> и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"https://sr.wikipedia.org/wiki/Bilans_uspeha" \o "Bilans uspeha"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биланс</w:t>
      </w:r>
      <w:proofErr w:type="spellEnd"/>
      <w:r w:rsidRPr="00E538AD">
        <w:rPr>
          <w:rFonts w:ascii="Arial" w:eastAsia="Times New Roman" w:hAnsi="Arial" w:cs="Arial"/>
          <w:color w:val="0B0080"/>
          <w:sz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0B0080"/>
          <w:sz w:val="15"/>
        </w:rPr>
        <w:t>успјеха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али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друге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информације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"https://sr.wikipedia.org/w/index.php?title=%D0%A0%D0%B0%D1%87%D1%83%D0%BD%D0%BE%D0%B2%D0%BE%D0%B4%D1%81%D1%82%D0%B2%D0%B5%D0%BD%D0%B8_%D1%81%D0%B8%D1%81%D1%82%D0%B5%D0%BC&amp;action=edit&amp;redlink=1" \o "Рачуноводствени систем (страница не постоји)"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A55858"/>
          <w:sz w:val="15"/>
        </w:rPr>
        <w:t>рачуноводственог</w:t>
      </w:r>
      <w:proofErr w:type="spellEnd"/>
      <w:r w:rsidRPr="00E538AD">
        <w:rPr>
          <w:rFonts w:ascii="Arial" w:eastAsia="Times New Roman" w:hAnsi="Arial" w:cs="Arial"/>
          <w:color w:val="A55858"/>
          <w:sz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A55858"/>
          <w:sz w:val="15"/>
        </w:rPr>
        <w:t>система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538AD" w:rsidRPr="00E538AD" w:rsidRDefault="00E538AD" w:rsidP="00E538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proofErr w:type="gram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Он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представља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преглед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стицања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трошења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готовине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предузећа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одређеном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временском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периоду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Акционари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менаџери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предузећа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усредсређени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увећање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вредности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акција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везане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за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стварање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готовог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новца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gramStart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смислу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важно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разликовати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добитак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од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готовог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новца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који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предузеће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зарађује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</w:p>
    <w:p w:rsidR="00E538AD" w:rsidRPr="00E538AD" w:rsidRDefault="00E538AD" w:rsidP="00E538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"https://sr.wikipedia.org/wiki/%D0%9C%D0%B5%D1%92%D1%83%D0%BD%D0%B0%D1%80%D0%BE%D0%B4%D0%BD%D0%B8_%D1%80%D0%B0%D1%87%D1%83%D0%BD%D0%BE%D0%B2%D0%BE%D0%B4%D1%81%D1%82%D0%B2%D0%B5%D0%BD%D0%B8_%D1%81%D1%82%D0%B0%D0%BD%D0%B4%D0%B0%D1%80%D0%B4_7" \o "Међународни рачуноводствени стандард 7"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Међународном</w:t>
      </w:r>
      <w:proofErr w:type="spellEnd"/>
      <w:r w:rsidRPr="00E538AD">
        <w:rPr>
          <w:rFonts w:ascii="Arial" w:eastAsia="Times New Roman" w:hAnsi="Arial" w:cs="Arial"/>
          <w:color w:val="0B0080"/>
          <w:sz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0B0080"/>
          <w:sz w:val="15"/>
        </w:rPr>
        <w:t>рачуноводственом</w:t>
      </w:r>
      <w:proofErr w:type="spellEnd"/>
      <w:r w:rsidRPr="00E538AD">
        <w:rPr>
          <w:rFonts w:ascii="Arial" w:eastAsia="Times New Roman" w:hAnsi="Arial" w:cs="Arial"/>
          <w:color w:val="0B0080"/>
          <w:sz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0B0080"/>
          <w:sz w:val="15"/>
        </w:rPr>
        <w:t>стандарду</w:t>
      </w:r>
      <w:proofErr w:type="spellEnd"/>
      <w:r w:rsidRPr="00E538AD">
        <w:rPr>
          <w:rFonts w:ascii="Arial" w:eastAsia="Times New Roman" w:hAnsi="Arial" w:cs="Arial"/>
          <w:color w:val="0B0080"/>
          <w:sz w:val="15"/>
        </w:rPr>
        <w:t xml:space="preserve"> бр.7</w: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 -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Извештај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о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новчаним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новчани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класификују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: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новчане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пословне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новчане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инвестиционе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новчане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финансијске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538AD" w:rsidRPr="00E538AD" w:rsidRDefault="00E538AD" w:rsidP="00E538A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Новчани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који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јављају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оквиру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пословне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утичу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биланс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успеха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односно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предсављају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елементе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за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утврђивање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нето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добитка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538AD" w:rsidRPr="00E538AD" w:rsidRDefault="00E538AD" w:rsidP="00E538A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Инвестициона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односи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вредновање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селекцију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улагања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чији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рок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дужи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од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једне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године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. 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примање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готовине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основу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инвестиционих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спадају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: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продаја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"https://sr.wikipedia.org/wiki/%D0%9E%D1%81%D0%BD%D0%BE%D0%B2%D0%BD%D0%B0_%D1%81%D1%80%D0%B5%D0%B4%D1%81%D1%82%D0%B2%D0%B0" \o "Основна средства"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основих</w:t>
      </w:r>
      <w:proofErr w:type="spellEnd"/>
      <w:r w:rsidRPr="00E538AD">
        <w:rPr>
          <w:rFonts w:ascii="Arial" w:eastAsia="Times New Roman" w:hAnsi="Arial" w:cs="Arial"/>
          <w:color w:val="0B0080"/>
          <w:sz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0B0080"/>
          <w:sz w:val="15"/>
        </w:rPr>
        <w:t>средстава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продај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обвезница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акција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других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предузећа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док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издавања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овом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основу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чине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набавка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основних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средстава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куповина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обвезница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"https://sr.wikipedia.org/wiki/%D0%94%D0%B8%D0%BE%D0%BD%D0%B8%D1%86%D0%B0" \o "Дионица"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акција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других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предузећа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538AD" w:rsidRPr="00E538AD" w:rsidRDefault="00E538AD" w:rsidP="00E538A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Финансијску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предуећа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чине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односи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власницина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(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инокоснима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ортацима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или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деоничарима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)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повериоцима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(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краткорочним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дугорочним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).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Новчани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токови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који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настају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у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оквиру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финансијске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активности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правилу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утичу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биланс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успеха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.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Примања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настају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основу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продаје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акција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обвезница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задужења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по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основу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краткорочних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кредита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proofErr w:type="gram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сл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.,</w:t>
      </w:r>
      <w:proofErr w:type="gram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док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се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издавања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готовине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односе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исплату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 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begin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instrText xml:space="preserve"> HYPERLINK "https://sr.wikipedia.org/wiki/%D0%94%D0%B8%D0%B2%D0%B8%D0%B4%D0%B5%D0%BD%D0%B4%D0%B0" \o "Дивиденда" </w:instrText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separate"/>
      </w:r>
      <w:r w:rsidRPr="00E538AD">
        <w:rPr>
          <w:rFonts w:ascii="Arial" w:eastAsia="Times New Roman" w:hAnsi="Arial" w:cs="Arial"/>
          <w:color w:val="0B0080"/>
          <w:sz w:val="15"/>
        </w:rPr>
        <w:t>дивиденди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fldChar w:fldCharType="end"/>
      </w:r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плаћања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главнице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на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дугорочне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кредит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и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отплате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краткорочних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538AD">
        <w:rPr>
          <w:rFonts w:ascii="Arial" w:eastAsia="Times New Roman" w:hAnsi="Arial" w:cs="Arial"/>
          <w:color w:val="202122"/>
          <w:sz w:val="15"/>
          <w:szCs w:val="15"/>
        </w:rPr>
        <w:t>кредита</w:t>
      </w:r>
      <w:proofErr w:type="spellEnd"/>
      <w:r w:rsidRPr="00E538AD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538AD" w:rsidRDefault="00E538AD" w:rsidP="00E41B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</w:p>
    <w:p w:rsidR="00E538AD" w:rsidRDefault="00E538AD" w:rsidP="00E41B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</w:p>
    <w:p w:rsidR="00E538AD" w:rsidRDefault="00E538AD" w:rsidP="00E41B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</w:p>
    <w:p w:rsidR="00E41B7A" w:rsidRPr="00E41B7A" w:rsidRDefault="00E41B7A" w:rsidP="00E41B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Čista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se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izračunava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koristeći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prodajnu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cenu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(</w:t>
      </w:r>
      <w:proofErr w:type="spellStart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>ili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prihod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)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osnovu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pomnoženu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100. To je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prodajne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cene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se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pretvara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u profit,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dok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"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"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ili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"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"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cene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koštanja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koji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se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dobija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profit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povrh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cene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koštanja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.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Prilikom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prodaje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nečega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treba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znati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koji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će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se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dobiti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određenoj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investiciji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tako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kompanije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računaju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bi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ustanovili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odnos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troškova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41B7A" w:rsidRPr="00E41B7A" w:rsidRDefault="00E41B7A" w:rsidP="00E41B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Čista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se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uglavnom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koristi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za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interno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poređenje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Teško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precizno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upoređivati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koeficijent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neto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za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različite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entitete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Poslovanja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finansijski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aranžmani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pojedinačnih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preduzeća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variraju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toliko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različiti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entiteti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imaju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različite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nivoe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troškova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tako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upoređivanje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jednog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drugim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nema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mnogo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smisla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.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Niska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profitna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ukazuje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nisku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marginu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sigurnosti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: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veći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rizik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će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pad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prodaje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umanjiti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profit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rezultirati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u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neto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gubitku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ili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negativnoj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41B7A" w:rsidRPr="00E41B7A" w:rsidRDefault="00E41B7A" w:rsidP="00E41B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Čista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indikator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cenovnih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strategija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kompanije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koliko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dobro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kontroliše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troškove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.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Razlike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u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konkurentskoj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strategiji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miks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proizvoda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uzrokuju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variranje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čiste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između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različitih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kompanija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  <w:r w:rsidRPr="00E41B7A">
        <w:rPr>
          <w:rFonts w:ascii="Arial" w:eastAsia="Times New Roman" w:hAnsi="Arial" w:cs="Arial"/>
          <w:color w:val="202122"/>
          <w:sz w:val="12"/>
          <w:szCs w:val="12"/>
          <w:vertAlign w:val="superscript"/>
        </w:rPr>
        <w:fldChar w:fldCharType="begin"/>
      </w:r>
      <w:r w:rsidRPr="00E41B7A">
        <w:rPr>
          <w:rFonts w:ascii="Arial" w:eastAsia="Times New Roman" w:hAnsi="Arial" w:cs="Arial"/>
          <w:color w:val="202122"/>
          <w:sz w:val="12"/>
          <w:szCs w:val="12"/>
          <w:vertAlign w:val="superscript"/>
        </w:rPr>
        <w:instrText xml:space="preserve"> HYPERLINK "https://sr.wikipedia.org/wiki/%C4%8Cista_mar%C5%BEa" \l "cite_note-2" </w:instrText>
      </w:r>
      <w:r w:rsidRPr="00E41B7A">
        <w:rPr>
          <w:rFonts w:ascii="Arial" w:eastAsia="Times New Roman" w:hAnsi="Arial" w:cs="Arial"/>
          <w:color w:val="202122"/>
          <w:sz w:val="12"/>
          <w:szCs w:val="12"/>
          <w:vertAlign w:val="superscript"/>
        </w:rPr>
        <w:fldChar w:fldCharType="separate"/>
      </w:r>
      <w:r w:rsidRPr="00E41B7A">
        <w:rPr>
          <w:rFonts w:ascii="Arial" w:eastAsia="Times New Roman" w:hAnsi="Arial" w:cs="Arial"/>
          <w:color w:val="0B0080"/>
          <w:sz w:val="12"/>
          <w:u w:val="single"/>
          <w:vertAlign w:val="superscript"/>
        </w:rPr>
        <w:t>[2]</w:t>
      </w:r>
      <w:r w:rsidRPr="00E41B7A">
        <w:rPr>
          <w:rFonts w:ascii="Arial" w:eastAsia="Times New Roman" w:hAnsi="Arial" w:cs="Arial"/>
          <w:color w:val="202122"/>
          <w:sz w:val="12"/>
          <w:szCs w:val="12"/>
          <w:vertAlign w:val="superscript"/>
        </w:rPr>
        <w:fldChar w:fldCharType="end"/>
      </w:r>
    </w:p>
    <w:p w:rsidR="00E41B7A" w:rsidRPr="00E41B7A" w:rsidRDefault="00E41B7A" w:rsidP="00E41B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Ako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investitor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ostvari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10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prihoda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koštalo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ga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1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ga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zaradi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oduzme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troškove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ostaje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maržom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90%.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Ostvario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900%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njegovu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investiciju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1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41B7A" w:rsidRPr="00E41B7A" w:rsidRDefault="00E41B7A" w:rsidP="00E41B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Ako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investitor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ostvari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10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prihoda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koštalo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ga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5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ga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zaradi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oduzme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troškove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ostaje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maržom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50%.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Ostvario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100%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njegovu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investiciju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5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41B7A" w:rsidRPr="00E41B7A" w:rsidRDefault="00E41B7A" w:rsidP="00E41B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Ako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investitor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ostvari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10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prihoda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koštalo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ga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9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ga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zaradi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oduzme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troškove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ostaje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maržom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10%.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Ostvario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11</w:t>
      </w:r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,11</w:t>
      </w:r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%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njegovu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investiciju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9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E41B7A" w:rsidRPr="00E41B7A" w:rsidRDefault="00E41B7A" w:rsidP="00E41B7A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E41B7A">
        <w:rPr>
          <w:rFonts w:ascii="Georgia" w:eastAsia="Times New Roman" w:hAnsi="Georgia" w:cs="Times New Roman"/>
          <w:color w:val="000000"/>
          <w:sz w:val="36"/>
          <w:szCs w:val="36"/>
        </w:rPr>
        <w:t>Procenat</w:t>
      </w:r>
      <w:proofErr w:type="spellEnd"/>
      <w:r w:rsidRPr="00E41B7A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E41B7A">
        <w:rPr>
          <w:rFonts w:ascii="Georgia" w:eastAsia="Times New Roman" w:hAnsi="Georgia" w:cs="Times New Roman"/>
          <w:color w:val="000000"/>
          <w:sz w:val="36"/>
          <w:szCs w:val="36"/>
        </w:rPr>
        <w:t>profita</w:t>
      </w:r>
      <w:proofErr w:type="spellEnd"/>
      <w:r w:rsidRPr="00E41B7A">
        <w:rPr>
          <w:rFonts w:ascii="Arial" w:eastAsia="Times New Roman" w:hAnsi="Arial" w:cs="Arial"/>
          <w:color w:val="54595D"/>
          <w:sz w:val="24"/>
        </w:rPr>
        <w:t>[</w:t>
      </w:r>
      <w:proofErr w:type="spellStart"/>
      <w:proofErr w:type="gramEnd"/>
      <w:r w:rsidRPr="00E41B7A">
        <w:rPr>
          <w:rFonts w:ascii="Arial" w:eastAsia="Times New Roman" w:hAnsi="Arial" w:cs="Arial"/>
          <w:color w:val="000000"/>
          <w:sz w:val="24"/>
        </w:rPr>
        <w:fldChar w:fldCharType="begin"/>
      </w:r>
      <w:r w:rsidRPr="00E41B7A">
        <w:rPr>
          <w:rFonts w:ascii="Arial" w:eastAsia="Times New Roman" w:hAnsi="Arial" w:cs="Arial"/>
          <w:color w:val="000000"/>
          <w:sz w:val="24"/>
        </w:rPr>
        <w:instrText xml:space="preserve"> HYPERLINK "https://sr.wikipedia.org/w/index.php?title=%C4%8Cista_mar%C5%BEa&amp;veaction=edit&amp;section=2" \o "Уредите одељак \„Procenat profita\”" </w:instrText>
      </w:r>
      <w:r w:rsidRPr="00E41B7A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E41B7A">
        <w:rPr>
          <w:rFonts w:ascii="Arial" w:eastAsia="Times New Roman" w:hAnsi="Arial" w:cs="Arial"/>
          <w:color w:val="0B0080"/>
          <w:sz w:val="24"/>
          <w:u w:val="single"/>
        </w:rPr>
        <w:t>уреди</w:t>
      </w:r>
      <w:proofErr w:type="spellEnd"/>
      <w:r w:rsidRPr="00E41B7A">
        <w:rPr>
          <w:rFonts w:ascii="Arial" w:eastAsia="Times New Roman" w:hAnsi="Arial" w:cs="Arial"/>
          <w:color w:val="000000"/>
          <w:sz w:val="24"/>
        </w:rPr>
        <w:fldChar w:fldCharType="end"/>
      </w:r>
      <w:r w:rsidRPr="00E41B7A">
        <w:rPr>
          <w:rFonts w:ascii="Arial" w:eastAsia="Times New Roman" w:hAnsi="Arial" w:cs="Arial"/>
          <w:color w:val="54595D"/>
          <w:sz w:val="24"/>
        </w:rPr>
        <w:t> | </w:t>
      </w:r>
      <w:proofErr w:type="spellStart"/>
      <w:r w:rsidRPr="00E41B7A">
        <w:rPr>
          <w:rFonts w:ascii="Arial" w:eastAsia="Times New Roman" w:hAnsi="Arial" w:cs="Arial"/>
          <w:color w:val="000000"/>
          <w:sz w:val="24"/>
        </w:rPr>
        <w:fldChar w:fldCharType="begin"/>
      </w:r>
      <w:r w:rsidRPr="00E41B7A">
        <w:rPr>
          <w:rFonts w:ascii="Arial" w:eastAsia="Times New Roman" w:hAnsi="Arial" w:cs="Arial"/>
          <w:color w:val="000000"/>
          <w:sz w:val="24"/>
        </w:rPr>
        <w:instrText xml:space="preserve"> HYPERLINK "https://sr.wikipedia.org/w/index.php?title=%C4%8Cista_mar%C5%BEa&amp;action=edit&amp;section=2" \o "Уредите одељак \„Procenat profita\”" </w:instrText>
      </w:r>
      <w:r w:rsidRPr="00E41B7A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E41B7A">
        <w:rPr>
          <w:rFonts w:ascii="Arial" w:eastAsia="Times New Roman" w:hAnsi="Arial" w:cs="Arial"/>
          <w:color w:val="0B0080"/>
          <w:sz w:val="24"/>
          <w:u w:val="single"/>
        </w:rPr>
        <w:t>уреди</w:t>
      </w:r>
      <w:proofErr w:type="spellEnd"/>
      <w:r w:rsidRPr="00E41B7A">
        <w:rPr>
          <w:rFonts w:ascii="Arial" w:eastAsia="Times New Roman" w:hAnsi="Arial" w:cs="Arial"/>
          <w:color w:val="0B0080"/>
          <w:sz w:val="24"/>
          <w:u w:val="single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0B0080"/>
          <w:sz w:val="24"/>
          <w:u w:val="single"/>
        </w:rPr>
        <w:t>извор</w:t>
      </w:r>
      <w:proofErr w:type="spellEnd"/>
      <w:r w:rsidRPr="00E41B7A">
        <w:rPr>
          <w:rFonts w:ascii="Arial" w:eastAsia="Times New Roman" w:hAnsi="Arial" w:cs="Arial"/>
          <w:color w:val="000000"/>
          <w:sz w:val="24"/>
        </w:rPr>
        <w:fldChar w:fldCharType="end"/>
      </w:r>
      <w:r w:rsidRPr="00E41B7A">
        <w:rPr>
          <w:rFonts w:ascii="Arial" w:eastAsia="Times New Roman" w:hAnsi="Arial" w:cs="Arial"/>
          <w:color w:val="54595D"/>
          <w:sz w:val="24"/>
        </w:rPr>
        <w:t>]</w:t>
      </w:r>
    </w:p>
    <w:p w:rsidR="00E41B7A" w:rsidRPr="00E41B7A" w:rsidRDefault="00E41B7A" w:rsidP="00E41B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5"/>
          <w:szCs w:val="15"/>
        </w:rPr>
      </w:pPr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S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druge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strane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se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izračunava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koristeći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cenu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koštanja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osnovu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</w:p>
    <w:p w:rsidR="00E41B7A" w:rsidRPr="00E41B7A" w:rsidRDefault="00E41B7A" w:rsidP="00E41B7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15"/>
          <w:szCs w:val="15"/>
        </w:rPr>
      </w:pPr>
      <w:r w:rsidRPr="00E41B7A">
        <w:rPr>
          <w:rFonts w:ascii="Arial" w:eastAsia="Times New Roman" w:hAnsi="Arial" w:cs="Arial"/>
          <w:vanish/>
          <w:color w:val="202122"/>
          <w:sz w:val="18"/>
        </w:rPr>
        <w:t>{\displaystyle {\text{procenat profita}}={{\text{neto profit}} \over {\text{cena koštanja}}}*100\%}</w:t>
      </w:r>
      <w:r w:rsidRPr="00E41B7A">
        <w:rPr>
          <w:rFonts w:ascii="Arial" w:eastAsia="Times New Roman" w:hAnsi="Arial" w:cs="Arial"/>
          <w:color w:val="202122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{\displaystyle {\text{procenat profita}}={{\text{neto profit}} \over {\text{cena koštanja}}}*100\%}" style="width:24.2pt;height:24.2pt"/>
        </w:pict>
      </w:r>
    </w:p>
    <w:p w:rsidR="00E41B7A" w:rsidRPr="00E41B7A" w:rsidRDefault="00E41B7A" w:rsidP="00E41B7A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Pretpostavimo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nešto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kupljeno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za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50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onda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prodato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za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100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  <w:proofErr w:type="gramEnd"/>
    </w:p>
    <w:p w:rsidR="00E41B7A" w:rsidRPr="00E41B7A" w:rsidRDefault="00E41B7A" w:rsidP="00E41B7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Cena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koštanja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= 50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</w:p>
    <w:p w:rsidR="00E41B7A" w:rsidRPr="00E41B7A" w:rsidRDefault="00E41B7A" w:rsidP="00E41B7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Prodajna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cena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(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prihod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) = 100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</w:p>
    <w:p w:rsidR="00E41B7A" w:rsidRPr="00E41B7A" w:rsidRDefault="00E41B7A" w:rsidP="00E41B7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15"/>
          <w:szCs w:val="15"/>
        </w:rPr>
      </w:pPr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Profit = 100 − 50 = 50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dolara</w:t>
      </w:r>
      <w:proofErr w:type="spellEnd"/>
    </w:p>
    <w:p w:rsidR="00E41B7A" w:rsidRPr="00E41B7A" w:rsidRDefault="00E41B7A" w:rsidP="00E41B7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(profit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podeljen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troškovima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) = 50/50 = 100%</w:t>
      </w:r>
    </w:p>
    <w:p w:rsidR="00E41B7A" w:rsidRPr="00E41B7A" w:rsidRDefault="00E41B7A" w:rsidP="00E41B7A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Višestruki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povrat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investicija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= 50 / 50 (profit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podeljen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sa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troškovima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).</w:t>
      </w:r>
    </w:p>
    <w:p w:rsidR="00E41B7A" w:rsidRPr="00E41B7A" w:rsidRDefault="00E41B7A" w:rsidP="00E41B7A">
      <w:pPr>
        <w:shd w:val="clear" w:color="auto" w:fill="FFFFFF"/>
        <w:spacing w:before="120" w:after="120" w:line="240" w:lineRule="auto"/>
        <w:ind w:left="2304"/>
        <w:rPr>
          <w:rFonts w:ascii="Arial" w:eastAsia="Times New Roman" w:hAnsi="Arial" w:cs="Arial"/>
          <w:color w:val="202122"/>
          <w:sz w:val="15"/>
          <w:szCs w:val="15"/>
        </w:rPr>
      </w:pP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Ako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prihod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isti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trošak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profita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iznosi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0%.</w:t>
      </w:r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Rezultat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iznad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ili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ispod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100%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može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se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izračunati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kao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procenat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povraćaja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investicije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. U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ovom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primeru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povraćaj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investicije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je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višestruki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iznos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proofErr w:type="gram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od</w:t>
      </w:r>
      <w:proofErr w:type="spellEnd"/>
      <w:proofErr w:type="gram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0.5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investicije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,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što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rezultira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sa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 xml:space="preserve"> 50% </w:t>
      </w:r>
      <w:proofErr w:type="spellStart"/>
      <w:r w:rsidRPr="00E41B7A">
        <w:rPr>
          <w:rFonts w:ascii="Arial" w:eastAsia="Times New Roman" w:hAnsi="Arial" w:cs="Arial"/>
          <w:color w:val="202122"/>
          <w:sz w:val="15"/>
          <w:szCs w:val="15"/>
        </w:rPr>
        <w:t>dobitkom</w:t>
      </w:r>
      <w:proofErr w:type="spellEnd"/>
      <w:r w:rsidRPr="00E41B7A">
        <w:rPr>
          <w:rFonts w:ascii="Arial" w:eastAsia="Times New Roman" w:hAnsi="Arial" w:cs="Arial"/>
          <w:color w:val="202122"/>
          <w:sz w:val="15"/>
          <w:szCs w:val="15"/>
        </w:rPr>
        <w:t>.</w:t>
      </w:r>
    </w:p>
    <w:p w:rsidR="009A26DD" w:rsidRDefault="009A26DD"/>
    <w:sectPr w:rsidR="009A26DD" w:rsidSect="009A2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18A"/>
    <w:multiLevelType w:val="multilevel"/>
    <w:tmpl w:val="2B2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252CF"/>
    <w:multiLevelType w:val="multilevel"/>
    <w:tmpl w:val="26E0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E41B7A"/>
    <w:rsid w:val="009A26DD"/>
    <w:rsid w:val="00E41B7A"/>
    <w:rsid w:val="00E5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DD"/>
  </w:style>
  <w:style w:type="paragraph" w:styleId="Heading2">
    <w:name w:val="heading 2"/>
    <w:basedOn w:val="Normal"/>
    <w:link w:val="Heading2Char"/>
    <w:uiPriority w:val="9"/>
    <w:qFormat/>
    <w:rsid w:val="00E41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B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4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1B7A"/>
    <w:rPr>
      <w:color w:val="0000FF"/>
      <w:u w:val="single"/>
    </w:rPr>
  </w:style>
  <w:style w:type="character" w:customStyle="1" w:styleId="mw-headline">
    <w:name w:val="mw-headline"/>
    <w:basedOn w:val="DefaultParagraphFont"/>
    <w:rsid w:val="00E41B7A"/>
  </w:style>
  <w:style w:type="character" w:customStyle="1" w:styleId="mw-editsection">
    <w:name w:val="mw-editsection"/>
    <w:basedOn w:val="DefaultParagraphFont"/>
    <w:rsid w:val="00E41B7A"/>
  </w:style>
  <w:style w:type="character" w:customStyle="1" w:styleId="mw-editsection-bracket">
    <w:name w:val="mw-editsection-bracket"/>
    <w:basedOn w:val="DefaultParagraphFont"/>
    <w:rsid w:val="00E41B7A"/>
  </w:style>
  <w:style w:type="character" w:customStyle="1" w:styleId="mw-editsection-divider">
    <w:name w:val="mw-editsection-divider"/>
    <w:basedOn w:val="DefaultParagraphFont"/>
    <w:rsid w:val="00E41B7A"/>
  </w:style>
  <w:style w:type="character" w:customStyle="1" w:styleId="mwe-math-mathml-inline">
    <w:name w:val="mwe-math-mathml-inline"/>
    <w:basedOn w:val="DefaultParagraphFont"/>
    <w:rsid w:val="00E41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2</cp:revision>
  <dcterms:created xsi:type="dcterms:W3CDTF">2020-05-25T17:49:00Z</dcterms:created>
  <dcterms:modified xsi:type="dcterms:W3CDTF">2020-05-25T17:49:00Z</dcterms:modified>
</cp:coreProperties>
</file>