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9F9" w:rsidRPr="00BE39F9" w:rsidRDefault="00BE39F9" w:rsidP="00BE39F9">
      <w:pPr>
        <w:spacing w:after="150" w:line="240" w:lineRule="auto"/>
        <w:jc w:val="center"/>
        <w:textAlignment w:val="baseline"/>
        <w:outlineLvl w:val="0"/>
        <w:rPr>
          <w:rFonts w:ascii="Helvetica" w:eastAsia="Times New Roman" w:hAnsi="Helvetica" w:cs="Helvetica"/>
          <w:caps/>
          <w:color w:val="D23232"/>
          <w:kern w:val="36"/>
          <w:sz w:val="20"/>
          <w:szCs w:val="20"/>
        </w:rPr>
      </w:pPr>
      <w:r w:rsidRPr="00BE39F9">
        <w:rPr>
          <w:rFonts w:ascii="Helvetica" w:eastAsia="Times New Roman" w:hAnsi="Helvetica" w:cs="Helvetica"/>
          <w:caps/>
          <w:color w:val="D23232"/>
          <w:kern w:val="36"/>
          <w:sz w:val="20"/>
          <w:szCs w:val="20"/>
        </w:rPr>
        <w:t>RAVILNIK O SADRŽINI I FORMI OBRAZACA FINANSIJSKIH IZVEŠTAJA I SADRŽINI I FORMI OBRASCA STATISTIČKOG IZVEŠTAJA ZA PRIVREDNA DRUŠTVA, ZADRUGE I PREDUZETNIKE</w:t>
      </w:r>
    </w:p>
    <w:p w:rsidR="00BE39F9" w:rsidRPr="00BE39F9" w:rsidRDefault="00BE39F9" w:rsidP="00BE39F9">
      <w:pPr>
        <w:shd w:val="clear" w:color="auto" w:fill="FFFFFF"/>
        <w:spacing w:line="240" w:lineRule="auto"/>
        <w:jc w:val="right"/>
        <w:textAlignment w:val="baseline"/>
        <w:rPr>
          <w:rFonts w:ascii="inherit" w:eastAsia="Times New Roman" w:hAnsi="inherit" w:cs="Helvetica"/>
          <w:color w:val="333333"/>
          <w:sz w:val="27"/>
          <w:szCs w:val="27"/>
        </w:rPr>
      </w:pPr>
      <w:r w:rsidRPr="00BE39F9">
        <w:rPr>
          <w:rFonts w:ascii="inherit" w:eastAsia="Times New Roman" w:hAnsi="inherit" w:cs="Helvetica"/>
          <w:color w:val="FFFFFF"/>
          <w:sz w:val="19"/>
        </w:rPr>
        <w:t>Omiljeno</w:t>
      </w:r>
    </w:p>
    <w:p w:rsidR="00BE39F9" w:rsidRPr="00BE39F9" w:rsidRDefault="00BE39F9" w:rsidP="00BE39F9">
      <w:pPr>
        <w:shd w:val="clear" w:color="auto" w:fill="FFFFFF"/>
        <w:spacing w:after="0" w:line="240" w:lineRule="auto"/>
        <w:textAlignment w:val="baseline"/>
        <w:outlineLvl w:val="5"/>
        <w:rPr>
          <w:rFonts w:ascii="Helvetica" w:eastAsia="Times New Roman" w:hAnsi="Helvetica" w:cs="Helvetica"/>
          <w:b/>
          <w:bCs/>
          <w:color w:val="D23232"/>
          <w:sz w:val="27"/>
          <w:szCs w:val="27"/>
        </w:rPr>
      </w:pPr>
      <w:r w:rsidRPr="00BE39F9">
        <w:rPr>
          <w:rFonts w:ascii="Helvetica" w:eastAsia="Times New Roman" w:hAnsi="Helvetica" w:cs="Helvetica"/>
          <w:b/>
          <w:bCs/>
          <w:color w:val="D23232"/>
          <w:sz w:val="27"/>
          <w:szCs w:val="27"/>
        </w:rPr>
        <w:t>„Službeni glasnik RS“, broj </w:t>
      </w:r>
      <w:hyperlink r:id="rId4" w:history="1">
        <w:r w:rsidRPr="00BE39F9">
          <w:rPr>
            <w:rFonts w:ascii="inherit" w:eastAsia="Times New Roman" w:hAnsi="inherit" w:cs="Helvetica"/>
            <w:b/>
            <w:bCs/>
            <w:color w:val="D23232"/>
            <w:sz w:val="27"/>
            <w:u w:val="single"/>
          </w:rPr>
          <w:t>89/2020</w:t>
        </w:r>
      </w:hyperlink>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w:t>
      </w:r>
    </w:p>
    <w:p w:rsidR="00BE39F9" w:rsidRPr="00BE39F9" w:rsidRDefault="00BE39F9" w:rsidP="00BE39F9">
      <w:pPr>
        <w:shd w:val="clear" w:color="auto" w:fill="FFFFFF"/>
        <w:spacing w:after="0" w:line="240" w:lineRule="auto"/>
        <w:textAlignment w:val="baseline"/>
        <w:outlineLvl w:val="2"/>
        <w:rPr>
          <w:rFonts w:ascii="Helvetica" w:eastAsia="Times New Roman" w:hAnsi="Helvetica" w:cs="Helvetica"/>
          <w:b/>
          <w:bCs/>
          <w:color w:val="D23232"/>
        </w:rPr>
      </w:pPr>
      <w:r w:rsidRPr="00BE39F9">
        <w:rPr>
          <w:rFonts w:ascii="inherit" w:eastAsia="Times New Roman" w:hAnsi="inherit" w:cs="Helvetica"/>
          <w:b/>
          <w:bCs/>
          <w:color w:val="D23232"/>
          <w:bdr w:val="none" w:sz="0" w:space="0" w:color="auto" w:frame="1"/>
        </w:rPr>
        <w:t>I. UVODNE ODREDBE</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1.</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Ovim pravilnikom propisuju se sadržina i forma obrazaca finansijskih izveštaja i sadržina pojedinih pozicija u obrascima finansijskih izveštaja, i to:</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1) Bilansa stanja;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2) Bilansa uspeha;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3) Izveštaja o ostalom rezultatu;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4) Izveštaja o tokovima gotovine;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5) Izveštaja o promenama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kapitalu;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6) Napomena uz finansijske izveštaje.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Ovim pravilnikom propisuju se i sadržina i forma obrasca Statističkog izveštaja.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Preduzetnici koji poslovne knjige vode po sistemu dvojnog knjigovodstva, dužni su da o tome u pisanoj formi obaveste Agenciju za privredne registre (u daljem tekstu: Agencija), najkasnije 60 </w:t>
      </w:r>
      <w:proofErr w:type="gramStart"/>
      <w:r w:rsidRPr="00BE39F9">
        <w:rPr>
          <w:rFonts w:ascii="inherit" w:eastAsia="Times New Roman" w:hAnsi="inherit" w:cs="Helvetica"/>
          <w:color w:val="333333"/>
          <w:sz w:val="27"/>
          <w:szCs w:val="27"/>
        </w:rPr>
        <w:t>dana</w:t>
      </w:r>
      <w:proofErr w:type="gramEnd"/>
      <w:r w:rsidRPr="00BE39F9">
        <w:rPr>
          <w:rFonts w:ascii="inherit" w:eastAsia="Times New Roman" w:hAnsi="inherit" w:cs="Helvetica"/>
          <w:color w:val="333333"/>
          <w:sz w:val="27"/>
          <w:szCs w:val="27"/>
        </w:rPr>
        <w:t xml:space="preserve"> pre roka za sastavljanje finansijskih izveštaja, a preduzetnik koji je prestao da vodi dvojno knjigovodstvo dužan je da u roku od 60 dana o tome obavesti Agenciju.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Odredbe ovog pravilnika odnose se na sva pravna lica, osim na Narodnu banku Srbije, banke, društva za osiguranje, davaoce finansijskog lizinga, dobrovoljne penzijske fondove i društva za upravljanje dobrovoljnim penzijskim fondovima, investicione fondove i društva za upravljanje investicionim fondovima, Centralni registar, depo i kliring hartija od vrednosti, berze i brokersko-dilerska društava, kao i na druga pravna </w:t>
      </w:r>
      <w:r w:rsidRPr="00BE39F9">
        <w:rPr>
          <w:rFonts w:ascii="inherit" w:eastAsia="Times New Roman" w:hAnsi="inherit" w:cs="Helvetica"/>
          <w:color w:val="333333"/>
          <w:sz w:val="27"/>
          <w:szCs w:val="27"/>
        </w:rPr>
        <w:lastRenderedPageBreak/>
        <w:t>lica definisana Zakonom o računovodstvu („Službeni glasnik RS”, broj 73/19 – u daljem tekstu: Zakon).</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Odredbe ovog pravilnika odnose se i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institucije elektronskog novca, platne institucije, društva za posredovanje u osiguranju, društva za zastupanje u osiguranju i preduzetnike – zastupnike u osiguranju.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Odredbe ovog pravilnika odnose se i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 </w:t>
      </w:r>
      <w:proofErr w:type="gramStart"/>
      <w:r w:rsidRPr="00BE39F9">
        <w:rPr>
          <w:rFonts w:ascii="inherit" w:eastAsia="Times New Roman" w:hAnsi="inherit" w:cs="Helvetica"/>
          <w:color w:val="333333"/>
          <w:sz w:val="27"/>
          <w:szCs w:val="27"/>
        </w:rPr>
        <w:t>preduzetnike</w:t>
      </w:r>
      <w:proofErr w:type="gramEnd"/>
      <w:r w:rsidRPr="00BE39F9">
        <w:rPr>
          <w:rFonts w:ascii="inherit" w:eastAsia="Times New Roman" w:hAnsi="inherit" w:cs="Helvetica"/>
          <w:color w:val="333333"/>
          <w:sz w:val="27"/>
          <w:szCs w:val="27"/>
        </w:rPr>
        <w:t xml:space="preserve"> koji u skladu sa Zakonom poslovne knjige vode po sistemu dvojnog knjigovodstva;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2) </w:t>
      </w:r>
      <w:proofErr w:type="gramStart"/>
      <w:r w:rsidRPr="00BE39F9">
        <w:rPr>
          <w:rFonts w:ascii="inherit" w:eastAsia="Times New Roman" w:hAnsi="inherit" w:cs="Helvetica"/>
          <w:color w:val="333333"/>
          <w:sz w:val="27"/>
          <w:szCs w:val="27"/>
        </w:rPr>
        <w:t>druga</w:t>
      </w:r>
      <w:proofErr w:type="gramEnd"/>
      <w:r w:rsidRPr="00BE39F9">
        <w:rPr>
          <w:rFonts w:ascii="inherit" w:eastAsia="Times New Roman" w:hAnsi="inherit" w:cs="Helvetica"/>
          <w:color w:val="333333"/>
          <w:sz w:val="27"/>
          <w:szCs w:val="27"/>
        </w:rPr>
        <w:t xml:space="preserve"> pravna lica koja dobrovoljno primenjuju Međunarodni standard finansijskog izveštavanja za mala i srednja pravna lica (u daljem tekstu: MSFI za MSP), odnosno Međunarodne standarde finansijskog izveštavanja (u daljem tekstu: MSFI);</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3) </w:t>
      </w:r>
      <w:proofErr w:type="gramStart"/>
      <w:r w:rsidRPr="00BE39F9">
        <w:rPr>
          <w:rFonts w:ascii="inherit" w:eastAsia="Times New Roman" w:hAnsi="inherit" w:cs="Helvetica"/>
          <w:color w:val="333333"/>
          <w:sz w:val="27"/>
          <w:szCs w:val="27"/>
        </w:rPr>
        <w:t>pravna</w:t>
      </w:r>
      <w:proofErr w:type="gramEnd"/>
      <w:r w:rsidRPr="00BE39F9">
        <w:rPr>
          <w:rFonts w:ascii="inherit" w:eastAsia="Times New Roman" w:hAnsi="inherit" w:cs="Helvetica"/>
          <w:color w:val="333333"/>
          <w:sz w:val="27"/>
          <w:szCs w:val="27"/>
        </w:rPr>
        <w:t xml:space="preserve"> lica i preduzetnike obveznike primene ovog pravilnika u postupku stečaja ili likvidacije;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4) </w:t>
      </w:r>
      <w:proofErr w:type="gramStart"/>
      <w:r w:rsidRPr="00BE39F9">
        <w:rPr>
          <w:rFonts w:ascii="inherit" w:eastAsia="Times New Roman" w:hAnsi="inherit" w:cs="Helvetica"/>
          <w:color w:val="333333"/>
          <w:sz w:val="27"/>
          <w:szCs w:val="27"/>
        </w:rPr>
        <w:t>ogranke</w:t>
      </w:r>
      <w:proofErr w:type="gramEnd"/>
      <w:r w:rsidRPr="00BE39F9">
        <w:rPr>
          <w:rFonts w:ascii="inherit" w:eastAsia="Times New Roman" w:hAnsi="inherit" w:cs="Helvetica"/>
          <w:color w:val="333333"/>
          <w:sz w:val="27"/>
          <w:szCs w:val="27"/>
        </w:rPr>
        <w:t xml:space="preserve"> i druge organizacione delove pravnih lica sa sedištem u inostranstvu, koji obavljaju privrednu delatnost u Republici Srbiji, ako posebnim propisima nije drukčije uređeno;</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5) </w:t>
      </w:r>
      <w:proofErr w:type="gramStart"/>
      <w:r w:rsidRPr="00BE39F9">
        <w:rPr>
          <w:rFonts w:ascii="inherit" w:eastAsia="Times New Roman" w:hAnsi="inherit" w:cs="Helvetica"/>
          <w:color w:val="333333"/>
          <w:sz w:val="27"/>
          <w:szCs w:val="27"/>
        </w:rPr>
        <w:t>stečajne</w:t>
      </w:r>
      <w:proofErr w:type="gramEnd"/>
      <w:r w:rsidRPr="00BE39F9">
        <w:rPr>
          <w:rFonts w:ascii="inherit" w:eastAsia="Times New Roman" w:hAnsi="inherit" w:cs="Helvetica"/>
          <w:color w:val="333333"/>
          <w:sz w:val="27"/>
          <w:szCs w:val="27"/>
        </w:rPr>
        <w:t xml:space="preserve"> mase stečajnih dužnika nad kojima je obustavljen odnosno zaključen postupak stečaja, osim ako nisu u pitanju stečajne mase banaka, društava za osiguranje, davaoca finansijskog lizinga, penzijskih fondova i društava za upravljanje dobrovoljnim penzijskim fondovima, investicionih fondova i društava za upravljanje investicionim fondovima, berzi i brokersko-dilerskih društava, kao i drugih pravnih lica definisanih Zakonom.</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2.</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Obrasci Bilans stanja, Bilans uspeha, Izveštaj o ostalom rezultatu, Izveštaj o tokovima gotovine, Izveštaj o promenama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kapitalu i Statistički izveštaj, kao prilozi 1, 2, 3, 4, 5 i 6, odštampani su uz ovaj pravilnik i čine njegov sastavni deo.</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U pogledu sadržine pojedinih grupa računa i računa u obrascima iz stava 1.</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ovog</w:t>
      </w:r>
      <w:proofErr w:type="gramEnd"/>
      <w:r w:rsidRPr="00BE39F9">
        <w:rPr>
          <w:rFonts w:ascii="inherit" w:eastAsia="Times New Roman" w:hAnsi="inherit" w:cs="Helvetica"/>
          <w:color w:val="333333"/>
          <w:sz w:val="27"/>
          <w:szCs w:val="27"/>
        </w:rPr>
        <w:t xml:space="preserve"> člana, postupa se prema odredbama pravilnika kojim se uređuje kontni okvir i sadržina računa u kontnom okviru za privredna društva, zadruge i preduzetnike.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U obrasce iz stava 1.</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ovog</w:t>
      </w:r>
      <w:proofErr w:type="gramEnd"/>
      <w:r w:rsidRPr="00BE39F9">
        <w:rPr>
          <w:rFonts w:ascii="inherit" w:eastAsia="Times New Roman" w:hAnsi="inherit" w:cs="Helvetica"/>
          <w:color w:val="333333"/>
          <w:sz w:val="27"/>
          <w:szCs w:val="27"/>
        </w:rPr>
        <w:t xml:space="preserve"> člana iznosi se upisuju u hiljadama dinara, osim broja akcija, zaposlenih i volontera koji se u Statističkom izveštaju iskazuju u celom broju.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U obrasce iz stava 1.</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ovog</w:t>
      </w:r>
      <w:proofErr w:type="gramEnd"/>
      <w:r w:rsidRPr="00BE39F9">
        <w:rPr>
          <w:rFonts w:ascii="inherit" w:eastAsia="Times New Roman" w:hAnsi="inherit" w:cs="Helvetica"/>
          <w:color w:val="333333"/>
          <w:sz w:val="27"/>
          <w:szCs w:val="27"/>
        </w:rPr>
        <w:t xml:space="preserve"> člana podaci se unose za tekući i za prethodni izveštajni period (poslovnu godinu). Za svaku stavku Bilansa stanja i Bilansa uspeha iskazuje se iznos za izveštajni period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koji se odnose Bilans stanja i Bilans uspeha, kao i iznos koji se odnosi na odgovarajuću stavku za prethodni izveštajni period. </w:t>
      </w:r>
      <w:proofErr w:type="gramStart"/>
      <w:r w:rsidRPr="00BE39F9">
        <w:rPr>
          <w:rFonts w:ascii="inherit" w:eastAsia="Times New Roman" w:hAnsi="inherit" w:cs="Helvetica"/>
          <w:color w:val="333333"/>
          <w:sz w:val="27"/>
          <w:szCs w:val="27"/>
        </w:rPr>
        <w:t>U slučaju kada ti iznosi nisu uporedivi i nije ih moguće učiniti uporedivim, obrazloženje za neuporedivost se obelodanjuje u Napomenama uz finansijske izveštaje.</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U slučaju kada se imovina </w:t>
      </w:r>
      <w:proofErr w:type="gramStart"/>
      <w:r w:rsidRPr="00BE39F9">
        <w:rPr>
          <w:rFonts w:ascii="inherit" w:eastAsia="Times New Roman" w:hAnsi="inherit" w:cs="Helvetica"/>
          <w:color w:val="333333"/>
          <w:sz w:val="27"/>
          <w:szCs w:val="27"/>
        </w:rPr>
        <w:t>ili</w:t>
      </w:r>
      <w:proofErr w:type="gramEnd"/>
      <w:r w:rsidRPr="00BE39F9">
        <w:rPr>
          <w:rFonts w:ascii="inherit" w:eastAsia="Times New Roman" w:hAnsi="inherit" w:cs="Helvetica"/>
          <w:color w:val="333333"/>
          <w:sz w:val="27"/>
          <w:szCs w:val="27"/>
        </w:rPr>
        <w:t xml:space="preserve"> obaveze odnose na više od jedne stavke iz obrasca, njen odnos sa ostalim stavkama obelodanjuje se u Napomenama uz finansijske izveštaje.</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3.</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U statusnoj promeni vanredne finansijske izveštaje sastavlja pravno lice koje je prestalo da postoji.</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Pravno lice koje je u toku izveštajne godine imalo statusnu promenu i kao rezultat </w:t>
      </w:r>
      <w:proofErr w:type="gramStart"/>
      <w:r w:rsidRPr="00BE39F9">
        <w:rPr>
          <w:rFonts w:ascii="inherit" w:eastAsia="Times New Roman" w:hAnsi="inherit" w:cs="Helvetica"/>
          <w:color w:val="333333"/>
          <w:sz w:val="27"/>
          <w:szCs w:val="27"/>
        </w:rPr>
        <w:t>te</w:t>
      </w:r>
      <w:proofErr w:type="gramEnd"/>
      <w:r w:rsidRPr="00BE39F9">
        <w:rPr>
          <w:rFonts w:ascii="inherit" w:eastAsia="Times New Roman" w:hAnsi="inherit" w:cs="Helvetica"/>
          <w:color w:val="333333"/>
          <w:sz w:val="27"/>
          <w:szCs w:val="27"/>
        </w:rPr>
        <w:t xml:space="preserve"> statusne promene je prestalo da postoji, ili je nad njim otvoren postupak stečaja, odnosno likvidacije, u redovnim godišnjim finansijskim izveštajima, u koloni za tekuću poslovnu godinu, prikazuje podatke o poslovanju za ceo izveštajni period.</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Na svim obrascima vanrednih finansijskih izveštaja pravnog lica stavlja se naznaka „statusna promena”, „stečaj” ili „likvidacija”.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Pravno lice koje je u skladu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Zakonom obavezno da sastavlja i dostavlja Napomene uz finansijske izveštaje, u Napomenama uz redovne godišnje finansijske izveštaje za godinu u kojoj je imalo statusnu promenu obelodanjuje informacije o učesnicima i vrsti statusne promene.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Pravno lice koje je nastalo osnivanjem posle statusne promene, prikazuje podatke kao novoosnovani obveznik iz člana 4.</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ovog</w:t>
      </w:r>
      <w:proofErr w:type="gramEnd"/>
      <w:r w:rsidRPr="00BE39F9">
        <w:rPr>
          <w:rFonts w:ascii="inherit" w:eastAsia="Times New Roman" w:hAnsi="inherit" w:cs="Helvetica"/>
          <w:color w:val="333333"/>
          <w:sz w:val="27"/>
          <w:szCs w:val="27"/>
        </w:rPr>
        <w:t xml:space="preserve"> pravilnika, s tim što na obrascima finansijskih izveštaja stavlja naznaku „novo osnivanje”.</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4.</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Novoosnovano pravno lice, odnosno preduzetnik prikazuje podatke o poslovanju u izveštajnoj poslovnoj godini u periodu koji je kraći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kalendarske godine ili je najviše jednak kalendarskoj godini, ali ne prikazuje stanje na dan 1. </w:t>
      </w:r>
      <w:proofErr w:type="gramStart"/>
      <w:r w:rsidRPr="00BE39F9">
        <w:rPr>
          <w:rFonts w:ascii="inherit" w:eastAsia="Times New Roman" w:hAnsi="inherit" w:cs="Helvetica"/>
          <w:color w:val="333333"/>
          <w:sz w:val="27"/>
          <w:szCs w:val="27"/>
        </w:rPr>
        <w:t>januara</w:t>
      </w:r>
      <w:proofErr w:type="gramEnd"/>
      <w:r w:rsidRPr="00BE39F9">
        <w:rPr>
          <w:rFonts w:ascii="inherit" w:eastAsia="Times New Roman" w:hAnsi="inherit" w:cs="Helvetica"/>
          <w:color w:val="333333"/>
          <w:sz w:val="27"/>
          <w:szCs w:val="27"/>
        </w:rPr>
        <w:t xml:space="preserve"> izveštajne poslovne godine, kao ni poslovanje u prethodnoj poslovnoj godini. </w:t>
      </w:r>
      <w:proofErr w:type="gramStart"/>
      <w:r w:rsidRPr="00BE39F9">
        <w:rPr>
          <w:rFonts w:ascii="inherit" w:eastAsia="Times New Roman" w:hAnsi="inherit" w:cs="Helvetica"/>
          <w:color w:val="333333"/>
          <w:sz w:val="27"/>
          <w:szCs w:val="27"/>
        </w:rPr>
        <w:t>Na svim propisanim obrascima finansijskih izveštaja i Statističkog izveštaja pravno lice, odnosno preduzetnik stavlja naznaku „novoosnovani”.</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način iz stava 1.</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ovog</w:t>
      </w:r>
      <w:proofErr w:type="gramEnd"/>
      <w:r w:rsidRPr="00BE39F9">
        <w:rPr>
          <w:rFonts w:ascii="inherit" w:eastAsia="Times New Roman" w:hAnsi="inherit" w:cs="Helvetica"/>
          <w:color w:val="333333"/>
          <w:sz w:val="27"/>
          <w:szCs w:val="27"/>
        </w:rPr>
        <w:t xml:space="preserve"> člana postupa i preduzetnik koji je u toku izveštajne poslovne godine počeo da vodi poslovne knjige po sistemu dvojnog knjigovodstva.</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5.</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Matično pravno lice dostavlja sve propisane obrasce finansijskih izveštaja i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njima stavlja naznaku „konsolidovani”.</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Matično pravno lice prikazuje konsolidovane podatke za izveštajnu i prethodnu poslovnu godinu.</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Pravno lice koje je postalo matično u izveštajnoj poslovnoj godini konsolidovane podatke dostavlja kao novoosnovano pravno lice iz člana 4.</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ovog</w:t>
      </w:r>
      <w:proofErr w:type="gramEnd"/>
      <w:r w:rsidRPr="00BE39F9">
        <w:rPr>
          <w:rFonts w:ascii="inherit" w:eastAsia="Times New Roman" w:hAnsi="inherit" w:cs="Helvetica"/>
          <w:color w:val="333333"/>
          <w:sz w:val="27"/>
          <w:szCs w:val="27"/>
        </w:rPr>
        <w:t xml:space="preserve"> pravilnika, pri čemu na svim obrascima stavlja naznaku „novokonsolidovani”.</w:t>
      </w:r>
    </w:p>
    <w:p w:rsidR="00BE39F9" w:rsidRPr="00BE39F9" w:rsidRDefault="00BE39F9" w:rsidP="00BE39F9">
      <w:pPr>
        <w:shd w:val="clear" w:color="auto" w:fill="FFFFFF"/>
        <w:spacing w:after="0" w:line="240" w:lineRule="auto"/>
        <w:textAlignment w:val="baseline"/>
        <w:outlineLvl w:val="2"/>
        <w:rPr>
          <w:rFonts w:ascii="Helvetica" w:eastAsia="Times New Roman" w:hAnsi="Helvetica" w:cs="Helvetica"/>
          <w:b/>
          <w:bCs/>
          <w:color w:val="D23232"/>
          <w:sz w:val="36"/>
          <w:szCs w:val="36"/>
        </w:rPr>
      </w:pPr>
      <w:r w:rsidRPr="00BE39F9">
        <w:rPr>
          <w:rFonts w:ascii="inherit" w:eastAsia="Times New Roman" w:hAnsi="inherit" w:cs="Helvetica"/>
          <w:b/>
          <w:bCs/>
          <w:color w:val="D23232"/>
          <w:sz w:val="36"/>
          <w:szCs w:val="36"/>
          <w:bdr w:val="none" w:sz="0" w:space="0" w:color="auto" w:frame="1"/>
        </w:rPr>
        <w:t>II. SADRŽINA POZICIJA U OBRASCU BILANS STANJA</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6.</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U obrascu Bilans stanja pravno lice, odnosno preduzetnik iskazuje podatke u kolonama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5 do 7, na svim pozicijama označenim slovnim oznakama, rimskim i arapskim brojevima prema sadržini grupa računa i računa označenih u koloni 1 tog obrasca.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Mikro pravna lica, kao i preduzetnici koji su razvrstani u kategoriju mikro pravnih lica, koji za priznavanje, vrednovanje, prezentaciju i obelodanjivanje pozicija u finansijskim izveštajima primenjuju podzakonski akt iz člana 26.</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stav</w:t>
      </w:r>
      <w:proofErr w:type="gramEnd"/>
      <w:r w:rsidRPr="00BE39F9">
        <w:rPr>
          <w:rFonts w:ascii="inherit" w:eastAsia="Times New Roman" w:hAnsi="inherit" w:cs="Helvetica"/>
          <w:color w:val="333333"/>
          <w:sz w:val="27"/>
          <w:szCs w:val="27"/>
        </w:rPr>
        <w:t xml:space="preserve"> 1. Zakona, u obrascu Bilans stanja iskazuju skraćeni obim podataka samo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pozicijama koje su označene slovnim oznakama i rimskim brojevima.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Podaci u obrascu Bilans stanja iskazuju se u neto iznosu (po sadašnjoj vrednosti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datum bilansa), tako što se bruto iznosi iskazani na osnovnim računima glavne knjige, koriguju za iznose ispravke vrednosti i obezvređenja koji su iskazani na pripadajućim korektivnim računima osnovnih računa na datum bilansa.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U Bilansu stanja u koloni 5 iskazuju se podaci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kraju tekućeg izveštajnog perioda, u koloni 6 podaci na kraju prethodnog izveštajnog perioda (koji je isti kao početak tekućeg izveštajnog perioda) i u koloni 7 podaci na početku najranijeg uporednog izveštajnog perioda (početno stanje prethodnog izveštajnog perioda). Podaci u koloni 7 iskazuju se samo u slučaju retrospektivne primene promenjene </w:t>
      </w:r>
      <w:proofErr w:type="gramStart"/>
      <w:r w:rsidRPr="00BE39F9">
        <w:rPr>
          <w:rFonts w:ascii="inherit" w:eastAsia="Times New Roman" w:hAnsi="inherit" w:cs="Helvetica"/>
          <w:color w:val="333333"/>
          <w:sz w:val="27"/>
          <w:szCs w:val="27"/>
        </w:rPr>
        <w:t>ili</w:t>
      </w:r>
      <w:proofErr w:type="gramEnd"/>
      <w:r w:rsidRPr="00BE39F9">
        <w:rPr>
          <w:rFonts w:ascii="inherit" w:eastAsia="Times New Roman" w:hAnsi="inherit" w:cs="Helvetica"/>
          <w:color w:val="333333"/>
          <w:sz w:val="27"/>
          <w:szCs w:val="27"/>
        </w:rPr>
        <w:t xml:space="preserve"> nove računovodstvene politike ili retrospektivnog preračunavanja stavki u finansijskim izveštajima, ili kada se reklasifikuju stavke u finansijskim izveštajima.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Za izveštajni period za koji se sastavlja finansijski izveštaj, podaci se unose u kolonu 5 aktive i u kolonu 5 pasive.</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Ako su podaci iz prethodne godine korigovani u skladu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propisima, u kolone 6 i 7 aktive i kolone 6 i 7 pasive prethodne godine unose se tako korigovani podaci.</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Pri izradi godišnjeg finansijskog izveštaja, kao i pri nastanku statusne promene, otvaranja, odnosno zaključenja postupka likvidacije ili postupka stečaja – pod oznakom AOP 0001 do 0060 u aktivi i AOP 0401 do 0457 u pasivi unose se podaci sa odgovarajućih grupa računa i računa označenih u koloni 1 ovog obrasca.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Podaci pod oznakom AOP 0411 pod nazivom „VIII. </w:t>
      </w:r>
      <w:proofErr w:type="gramStart"/>
      <w:r w:rsidRPr="00BE39F9">
        <w:rPr>
          <w:rFonts w:ascii="inherit" w:eastAsia="Times New Roman" w:hAnsi="inherit" w:cs="Helvetica"/>
          <w:color w:val="333333"/>
          <w:sz w:val="27"/>
          <w:szCs w:val="27"/>
        </w:rPr>
        <w:t>Učešće bez prava kontrole”, popunjavaju se samo u konsolidovanom bilansu stanja.</w:t>
      </w:r>
      <w:proofErr w:type="gramEnd"/>
    </w:p>
    <w:p w:rsidR="00BE39F9" w:rsidRPr="00BE39F9" w:rsidRDefault="00BE39F9" w:rsidP="00BE39F9">
      <w:pPr>
        <w:shd w:val="clear" w:color="auto" w:fill="FFFFFF"/>
        <w:spacing w:after="0" w:line="240" w:lineRule="auto"/>
        <w:textAlignment w:val="baseline"/>
        <w:outlineLvl w:val="2"/>
        <w:rPr>
          <w:rFonts w:ascii="Helvetica" w:eastAsia="Times New Roman" w:hAnsi="Helvetica" w:cs="Helvetica"/>
          <w:b/>
          <w:bCs/>
          <w:color w:val="D23232"/>
          <w:sz w:val="36"/>
          <w:szCs w:val="36"/>
        </w:rPr>
      </w:pPr>
      <w:r w:rsidRPr="00BE39F9">
        <w:rPr>
          <w:rFonts w:ascii="inherit" w:eastAsia="Times New Roman" w:hAnsi="inherit" w:cs="Helvetica"/>
          <w:b/>
          <w:bCs/>
          <w:color w:val="D23232"/>
          <w:sz w:val="36"/>
          <w:szCs w:val="36"/>
          <w:bdr w:val="none" w:sz="0" w:space="0" w:color="auto" w:frame="1"/>
        </w:rPr>
        <w:t>III. SADRŽINA POZICIJA U OBRASCIMA BILANS USPEHA I IZVEŠTAJ O OSTALOM REZULTATU</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7.</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Rezultate poslovanja pravna lica, odnosno preduzetnici prikazuju u dva posebna izveštaja: Bilans uspeha i Izveštaj o ostalom rezultatu.</w:t>
      </w:r>
    </w:p>
    <w:p w:rsidR="00BE39F9" w:rsidRPr="00BE39F9" w:rsidRDefault="00BE39F9" w:rsidP="00BE39F9">
      <w:pPr>
        <w:shd w:val="clear" w:color="auto" w:fill="FFFFFF"/>
        <w:spacing w:after="0" w:line="240" w:lineRule="auto"/>
        <w:textAlignment w:val="baseline"/>
        <w:outlineLvl w:val="3"/>
        <w:rPr>
          <w:rFonts w:ascii="Helvetica" w:eastAsia="Times New Roman" w:hAnsi="Helvetica" w:cs="Helvetica"/>
          <w:b/>
          <w:bCs/>
          <w:color w:val="D23232"/>
          <w:sz w:val="33"/>
          <w:szCs w:val="33"/>
        </w:rPr>
      </w:pPr>
      <w:r w:rsidRPr="00BE39F9">
        <w:rPr>
          <w:rFonts w:ascii="inherit" w:eastAsia="Times New Roman" w:hAnsi="inherit" w:cs="Helvetica"/>
          <w:b/>
          <w:bCs/>
          <w:color w:val="D23232"/>
          <w:sz w:val="33"/>
          <w:szCs w:val="33"/>
          <w:bdr w:val="none" w:sz="0" w:space="0" w:color="auto" w:frame="1"/>
        </w:rPr>
        <w:t>1. Bilans uspeha</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8.</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U obrascu Bilans uspeha pravna lica, odnosno preduzetnici iskazuju podatke u kolonama 5 i 6,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svim pozicijama označenim slovnim oznakama, rimskim i arapskim brojevima prema sadržini grupa računa i računa po pojedinim pozicijama (AOP) tog obrasca.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Mikro pravna lica, kao i preduzetnici koji su razvrstani u kategoriju mikro pravnih lica, koji za priznavanje, vrednovanje, prezentaciju i obelodanjivanje pozicija u finansijskim izveštajima primenjuju podzakonski akt iz člana 26.</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stav</w:t>
      </w:r>
      <w:proofErr w:type="gramEnd"/>
      <w:r w:rsidRPr="00BE39F9">
        <w:rPr>
          <w:rFonts w:ascii="inherit" w:eastAsia="Times New Roman" w:hAnsi="inherit" w:cs="Helvetica"/>
          <w:color w:val="333333"/>
          <w:sz w:val="27"/>
          <w:szCs w:val="27"/>
        </w:rPr>
        <w:t xml:space="preserve"> 1. Zakona, u obrascu Bilans uspeha iskazuju skraćeni obim podataka samo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pozicijama koje su označene slovnim oznakama i rimskim brojevima.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U obrazac Bilans uspeha pri izradi godišnjeg finansijskog izveštaja, kao i pri nastanku statusne promene, otvaranja, odnosno zaključenja postupka likvidacije </w:t>
      </w:r>
      <w:proofErr w:type="gramStart"/>
      <w:r w:rsidRPr="00BE39F9">
        <w:rPr>
          <w:rFonts w:ascii="inherit" w:eastAsia="Times New Roman" w:hAnsi="inherit" w:cs="Helvetica"/>
          <w:color w:val="333333"/>
          <w:sz w:val="27"/>
          <w:szCs w:val="27"/>
        </w:rPr>
        <w:t>ili</w:t>
      </w:r>
      <w:proofErr w:type="gramEnd"/>
      <w:r w:rsidRPr="00BE39F9">
        <w:rPr>
          <w:rFonts w:ascii="inherit" w:eastAsia="Times New Roman" w:hAnsi="inherit" w:cs="Helvetica"/>
          <w:color w:val="333333"/>
          <w:sz w:val="27"/>
          <w:szCs w:val="27"/>
        </w:rPr>
        <w:t xml:space="preserve"> postupka stečaja unose se sledeći podaci:</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 </w:t>
      </w:r>
      <w:proofErr w:type="gramStart"/>
      <w:r w:rsidRPr="00BE39F9">
        <w:rPr>
          <w:rFonts w:ascii="inherit" w:eastAsia="Times New Roman" w:hAnsi="inherit" w:cs="Helvetica"/>
          <w:color w:val="333333"/>
          <w:sz w:val="27"/>
          <w:szCs w:val="27"/>
        </w:rPr>
        <w:t>poslovni</w:t>
      </w:r>
      <w:proofErr w:type="gramEnd"/>
      <w:r w:rsidRPr="00BE39F9">
        <w:rPr>
          <w:rFonts w:ascii="inherit" w:eastAsia="Times New Roman" w:hAnsi="inherit" w:cs="Helvetica"/>
          <w:color w:val="333333"/>
          <w:sz w:val="27"/>
          <w:szCs w:val="27"/>
        </w:rPr>
        <w:t xml:space="preserve"> prihodi i poslovni rashodi – podaci se unose pod oznakama AOP 1001 do 1024;</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2) </w:t>
      </w:r>
      <w:proofErr w:type="gramStart"/>
      <w:r w:rsidRPr="00BE39F9">
        <w:rPr>
          <w:rFonts w:ascii="inherit" w:eastAsia="Times New Roman" w:hAnsi="inherit" w:cs="Helvetica"/>
          <w:color w:val="333333"/>
          <w:sz w:val="27"/>
          <w:szCs w:val="27"/>
        </w:rPr>
        <w:t>poslovni</w:t>
      </w:r>
      <w:proofErr w:type="gramEnd"/>
      <w:r w:rsidRPr="00BE39F9">
        <w:rPr>
          <w:rFonts w:ascii="inherit" w:eastAsia="Times New Roman" w:hAnsi="inherit" w:cs="Helvetica"/>
          <w:color w:val="333333"/>
          <w:sz w:val="27"/>
          <w:szCs w:val="27"/>
        </w:rPr>
        <w:t xml:space="preserve"> dobitak i poslovni gubitak – podaci se unose pod oznakama AOP 1025, odnosno AOP 1026;</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3) </w:t>
      </w:r>
      <w:proofErr w:type="gramStart"/>
      <w:r w:rsidRPr="00BE39F9">
        <w:rPr>
          <w:rFonts w:ascii="inherit" w:eastAsia="Times New Roman" w:hAnsi="inherit" w:cs="Helvetica"/>
          <w:color w:val="333333"/>
          <w:sz w:val="27"/>
          <w:szCs w:val="27"/>
        </w:rPr>
        <w:t>finansijski</w:t>
      </w:r>
      <w:proofErr w:type="gramEnd"/>
      <w:r w:rsidRPr="00BE39F9">
        <w:rPr>
          <w:rFonts w:ascii="inherit" w:eastAsia="Times New Roman" w:hAnsi="inherit" w:cs="Helvetica"/>
          <w:color w:val="333333"/>
          <w:sz w:val="27"/>
          <w:szCs w:val="27"/>
        </w:rPr>
        <w:t xml:space="preserve"> prihodi i finansijski rashodi – podaci se unose pod oznakama AOP 1027 do AOP 1036;</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4) </w:t>
      </w:r>
      <w:proofErr w:type="gramStart"/>
      <w:r w:rsidRPr="00BE39F9">
        <w:rPr>
          <w:rFonts w:ascii="inherit" w:eastAsia="Times New Roman" w:hAnsi="inherit" w:cs="Helvetica"/>
          <w:color w:val="333333"/>
          <w:sz w:val="27"/>
          <w:szCs w:val="27"/>
        </w:rPr>
        <w:t>dobitak</w:t>
      </w:r>
      <w:proofErr w:type="gramEnd"/>
      <w:r w:rsidRPr="00BE39F9">
        <w:rPr>
          <w:rFonts w:ascii="inherit" w:eastAsia="Times New Roman" w:hAnsi="inherit" w:cs="Helvetica"/>
          <w:color w:val="333333"/>
          <w:sz w:val="27"/>
          <w:szCs w:val="27"/>
        </w:rPr>
        <w:t xml:space="preserve"> iz finansiranja i gubitak iz finansiranja – podaci se unose pod oznakama AOP 1037, odnosno AOP 1038;</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5) </w:t>
      </w:r>
      <w:proofErr w:type="gramStart"/>
      <w:r w:rsidRPr="00BE39F9">
        <w:rPr>
          <w:rFonts w:ascii="inherit" w:eastAsia="Times New Roman" w:hAnsi="inherit" w:cs="Helvetica"/>
          <w:color w:val="333333"/>
          <w:sz w:val="27"/>
          <w:szCs w:val="27"/>
        </w:rPr>
        <w:t>prihodi</w:t>
      </w:r>
      <w:proofErr w:type="gramEnd"/>
      <w:r w:rsidRPr="00BE39F9">
        <w:rPr>
          <w:rFonts w:ascii="inherit" w:eastAsia="Times New Roman" w:hAnsi="inherit" w:cs="Helvetica"/>
          <w:color w:val="333333"/>
          <w:sz w:val="27"/>
          <w:szCs w:val="27"/>
        </w:rPr>
        <w:t xml:space="preserve"> i rashodi od usklađivanja vrednosti finansijske imovine koja se iskazuje po fer vrednosti kroz Bilans uspeha – podaci se unose pod oznakama AOP 1039 i AOP 1040;</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6) </w:t>
      </w:r>
      <w:proofErr w:type="gramStart"/>
      <w:r w:rsidRPr="00BE39F9">
        <w:rPr>
          <w:rFonts w:ascii="inherit" w:eastAsia="Times New Roman" w:hAnsi="inherit" w:cs="Helvetica"/>
          <w:color w:val="333333"/>
          <w:sz w:val="27"/>
          <w:szCs w:val="27"/>
        </w:rPr>
        <w:t>ostali</w:t>
      </w:r>
      <w:proofErr w:type="gramEnd"/>
      <w:r w:rsidRPr="00BE39F9">
        <w:rPr>
          <w:rFonts w:ascii="inherit" w:eastAsia="Times New Roman" w:hAnsi="inherit" w:cs="Helvetica"/>
          <w:color w:val="333333"/>
          <w:sz w:val="27"/>
          <w:szCs w:val="27"/>
        </w:rPr>
        <w:t xml:space="preserve"> prihodi i ostali rashodi – podaci se unose pod oznakama AOP 1041 i AOP 1042;</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7) </w:t>
      </w:r>
      <w:proofErr w:type="gramStart"/>
      <w:r w:rsidRPr="00BE39F9">
        <w:rPr>
          <w:rFonts w:ascii="inherit" w:eastAsia="Times New Roman" w:hAnsi="inherit" w:cs="Helvetica"/>
          <w:color w:val="333333"/>
          <w:sz w:val="27"/>
          <w:szCs w:val="27"/>
        </w:rPr>
        <w:t>ukupni</w:t>
      </w:r>
      <w:proofErr w:type="gramEnd"/>
      <w:r w:rsidRPr="00BE39F9">
        <w:rPr>
          <w:rFonts w:ascii="inherit" w:eastAsia="Times New Roman" w:hAnsi="inherit" w:cs="Helvetica"/>
          <w:color w:val="333333"/>
          <w:sz w:val="27"/>
          <w:szCs w:val="27"/>
        </w:rPr>
        <w:t xml:space="preserve"> prihodi i ukupni rashodi – podaci se unose pod oznakama AOP 1043 i AOP 1044;</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8) </w:t>
      </w:r>
      <w:proofErr w:type="gramStart"/>
      <w:r w:rsidRPr="00BE39F9">
        <w:rPr>
          <w:rFonts w:ascii="inherit" w:eastAsia="Times New Roman" w:hAnsi="inherit" w:cs="Helvetica"/>
          <w:color w:val="333333"/>
          <w:sz w:val="27"/>
          <w:szCs w:val="27"/>
        </w:rPr>
        <w:t>rezultat</w:t>
      </w:r>
      <w:proofErr w:type="gramEnd"/>
      <w:r w:rsidRPr="00BE39F9">
        <w:rPr>
          <w:rFonts w:ascii="inherit" w:eastAsia="Times New Roman" w:hAnsi="inherit" w:cs="Helvetica"/>
          <w:color w:val="333333"/>
          <w:sz w:val="27"/>
          <w:szCs w:val="27"/>
        </w:rPr>
        <w:t xml:space="preserve"> (dobitak ili gubitak) pre oporezivanja – podaci se unose pod oznakama AOP 1045, odnosno AOP 1046;</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9) </w:t>
      </w:r>
      <w:proofErr w:type="gramStart"/>
      <w:r w:rsidRPr="00BE39F9">
        <w:rPr>
          <w:rFonts w:ascii="inherit" w:eastAsia="Times New Roman" w:hAnsi="inherit" w:cs="Helvetica"/>
          <w:color w:val="333333"/>
          <w:sz w:val="27"/>
          <w:szCs w:val="27"/>
        </w:rPr>
        <w:t>neto</w:t>
      </w:r>
      <w:proofErr w:type="gramEnd"/>
      <w:r w:rsidRPr="00BE39F9">
        <w:rPr>
          <w:rFonts w:ascii="inherit" w:eastAsia="Times New Roman" w:hAnsi="inherit" w:cs="Helvetica"/>
          <w:color w:val="333333"/>
          <w:sz w:val="27"/>
          <w:szCs w:val="27"/>
        </w:rPr>
        <w:t xml:space="preserve"> dobitak i neto gubitak poslovanja koje se obustavlja, promena računovodstvenih politika i ispravki grešaka iz ranijih perioda – podaci se unose pod oznakama AOP 1047 i AOP 1048;</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10) </w:t>
      </w:r>
      <w:proofErr w:type="gramStart"/>
      <w:r w:rsidRPr="00BE39F9">
        <w:rPr>
          <w:rFonts w:ascii="inherit" w:eastAsia="Times New Roman" w:hAnsi="inherit" w:cs="Helvetica"/>
          <w:color w:val="333333"/>
          <w:sz w:val="27"/>
          <w:szCs w:val="27"/>
        </w:rPr>
        <w:t>iznos</w:t>
      </w:r>
      <w:proofErr w:type="gramEnd"/>
      <w:r w:rsidRPr="00BE39F9">
        <w:rPr>
          <w:rFonts w:ascii="inherit" w:eastAsia="Times New Roman" w:hAnsi="inherit" w:cs="Helvetica"/>
          <w:color w:val="333333"/>
          <w:sz w:val="27"/>
          <w:szCs w:val="27"/>
        </w:rPr>
        <w:t xml:space="preserve"> poreskog rashoda perioda, iznos odloženih poreskih rashoda perioda i iznos odloženih poreskih prihoda perioda – podaci se unose pod oznakama AOP 1051 do AOP 1053;</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11) </w:t>
      </w:r>
      <w:proofErr w:type="gramStart"/>
      <w:r w:rsidRPr="00BE39F9">
        <w:rPr>
          <w:rFonts w:ascii="inherit" w:eastAsia="Times New Roman" w:hAnsi="inherit" w:cs="Helvetica"/>
          <w:color w:val="333333"/>
          <w:sz w:val="27"/>
          <w:szCs w:val="27"/>
        </w:rPr>
        <w:t>isplaćena</w:t>
      </w:r>
      <w:proofErr w:type="gramEnd"/>
      <w:r w:rsidRPr="00BE39F9">
        <w:rPr>
          <w:rFonts w:ascii="inherit" w:eastAsia="Times New Roman" w:hAnsi="inherit" w:cs="Helvetica"/>
          <w:color w:val="333333"/>
          <w:sz w:val="27"/>
          <w:szCs w:val="27"/>
        </w:rPr>
        <w:t xml:space="preserve"> lična primanja poslodavca – podaci se unose pod oznakom AOP 1054;</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12) </w:t>
      </w:r>
      <w:proofErr w:type="gramStart"/>
      <w:r w:rsidRPr="00BE39F9">
        <w:rPr>
          <w:rFonts w:ascii="inherit" w:eastAsia="Times New Roman" w:hAnsi="inherit" w:cs="Helvetica"/>
          <w:color w:val="333333"/>
          <w:sz w:val="27"/>
          <w:szCs w:val="27"/>
        </w:rPr>
        <w:t>neto</w:t>
      </w:r>
      <w:proofErr w:type="gramEnd"/>
      <w:r w:rsidRPr="00BE39F9">
        <w:rPr>
          <w:rFonts w:ascii="inherit" w:eastAsia="Times New Roman" w:hAnsi="inherit" w:cs="Helvetica"/>
          <w:color w:val="333333"/>
          <w:sz w:val="27"/>
          <w:szCs w:val="27"/>
        </w:rPr>
        <w:t xml:space="preserve"> dobitak i neto gubitak – podaci se unose pod oznakama AOP 1055, odnosno AOP 1056.</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1057 ovog obrasca unosi se iznos dela neto dobitka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AOP 1055 koji pripada učešćima bez prava kontrole, a pod oznakom AOP 1058 iznos dela neto dobitka iskazanog sa AOP 1055 koji pripada matičnom pravnom licu.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1059 ovog obrasca unosi se iznos dela neto gubitka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AOP 1056 koji pripada učešćima bez prava kontrole, a pod oznakom AOP 1060 iznos dela neto gubitka iskazanog sa AOP 1056 koji pripada matičnom pravnom licu.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Podaci pod oznakom AOP 1057 do AOP 1060 unose se samo u konsolidovani Bilans uspeha.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1061 ovog obrasca unosi se iznos osnovne zarade po akciji.</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1062 ovog obrasca unosi se iznos umanjene (razvodnjene) zarade po akciji.</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Podatke pod oznakama AOP 1061 i AOP 1062 unose samo pravna lica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akcijskim kapitalom.</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Podaci se sa odgovarajućih računa označenih u koloni 1 unose tako što se u kolonu 6 (prethodna godina) unose podaci iz obračuna odgovarajućeg perioda prethodne godine, reklasifikovani u skladu sa strukturom podataka za tekući period, dok se za tekuću godinu, u kolonu 5, podaci unose sa računa na kraju perioda za koji se obračun sastavlja.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Ako su podaci prethodne godine korigovani u skladu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propisima, u kolonu 6 unose se tako korigovani podaci.</w:t>
      </w:r>
    </w:p>
    <w:p w:rsidR="00BE39F9" w:rsidRPr="00BE39F9" w:rsidRDefault="00BE39F9" w:rsidP="00BE39F9">
      <w:pPr>
        <w:shd w:val="clear" w:color="auto" w:fill="FFFFFF"/>
        <w:spacing w:after="0" w:line="240" w:lineRule="auto"/>
        <w:textAlignment w:val="baseline"/>
        <w:outlineLvl w:val="3"/>
        <w:rPr>
          <w:rFonts w:ascii="Helvetica" w:eastAsia="Times New Roman" w:hAnsi="Helvetica" w:cs="Helvetica"/>
          <w:b/>
          <w:bCs/>
          <w:color w:val="D23232"/>
          <w:sz w:val="33"/>
          <w:szCs w:val="33"/>
        </w:rPr>
      </w:pPr>
      <w:r w:rsidRPr="00BE39F9">
        <w:rPr>
          <w:rFonts w:ascii="inherit" w:eastAsia="Times New Roman" w:hAnsi="inherit" w:cs="Helvetica"/>
          <w:b/>
          <w:bCs/>
          <w:color w:val="D23232"/>
          <w:sz w:val="33"/>
          <w:szCs w:val="33"/>
          <w:bdr w:val="none" w:sz="0" w:space="0" w:color="auto" w:frame="1"/>
        </w:rPr>
        <w:t>2. Izveštaj o ostalom rezultatu</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9.</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U obrascu Izveštaj o ostalom rezultatu iskazuju se komponente ostalog sveobuhvatnog dobitka </w:t>
      </w:r>
      <w:proofErr w:type="gramStart"/>
      <w:r w:rsidRPr="00BE39F9">
        <w:rPr>
          <w:rFonts w:ascii="inherit" w:eastAsia="Times New Roman" w:hAnsi="inherit" w:cs="Helvetica"/>
          <w:color w:val="333333"/>
          <w:sz w:val="27"/>
          <w:szCs w:val="27"/>
        </w:rPr>
        <w:t>ili</w:t>
      </w:r>
      <w:proofErr w:type="gramEnd"/>
      <w:r w:rsidRPr="00BE39F9">
        <w:rPr>
          <w:rFonts w:ascii="inherit" w:eastAsia="Times New Roman" w:hAnsi="inherit" w:cs="Helvetica"/>
          <w:color w:val="333333"/>
          <w:sz w:val="27"/>
          <w:szCs w:val="27"/>
        </w:rPr>
        <w:t xml:space="preserve"> gubitka, kao i ukupan sveobuhvatni dobitak ili gubitak.</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U obrascu Izveštaj o ostalom rezultatu, pravno lice, odnosno preduzetnik unosi podatke u kolone 5 i 6, prema sadržini grupa računa označenih u koloni 1 tog obrasca.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U ovaj obrazac, pri izradi godišnjeg finansijskog izveštaja, unose se sledeći podaci:</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2001 i AOP 2002 iskazuje se neto dobitak ili neto gubitak iz Bilansa uspeha sa oznaka AOP 1055 i AOP 1056;</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2) pod oznakom AOP 2003 do AOP 2008 unose se promene stanja, povećanje, odnosno smanjenja stanja na računima 330, 331 i 333 – pri utvrđivanju iznosa promene ne uzimaju se u obzir promene na ovim računima koje su posledica ukidanja rezervisanja, odnosno nerealizovanih dobitaka i gubitaka u korist računa neraspoređenog dobitka (ukidanja po osnovu rashodovanja i prodaje sredstva, po osnovu obračuna amortizacije i dr.);</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3) pod oznakom AOP 2009 do AOP 2018 unose se promene stanja, povećanje, odnosno smanjenje stanja na računima 332, 334, 335, 336 i 337 – pri utvrđivanju iznosa promene uzimaju se u obzir i promene na ovim računima koje su posledica preklasifikacije (prenošenja nerealizovanih dobitaka ili gubitaka na račune prihoda ili rashoda, na primer, po osnovu prestanka priznavanja ovih sredstava);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4) pod oznakama AOP 2019 i 2020 iskazuje se ostali bruto sveobuhvatni dobitak </w:t>
      </w:r>
      <w:proofErr w:type="gramStart"/>
      <w:r w:rsidRPr="00BE39F9">
        <w:rPr>
          <w:rFonts w:ascii="inherit" w:eastAsia="Times New Roman" w:hAnsi="inherit" w:cs="Helvetica"/>
          <w:color w:val="333333"/>
          <w:sz w:val="27"/>
          <w:szCs w:val="27"/>
        </w:rPr>
        <w:t>ili</w:t>
      </w:r>
      <w:proofErr w:type="gramEnd"/>
      <w:r w:rsidRPr="00BE39F9">
        <w:rPr>
          <w:rFonts w:ascii="inherit" w:eastAsia="Times New Roman" w:hAnsi="inherit" w:cs="Helvetica"/>
          <w:color w:val="333333"/>
          <w:sz w:val="27"/>
          <w:szCs w:val="27"/>
        </w:rPr>
        <w:t xml:space="preserve"> gubitak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5) pod oznakom AOP 2021 iskazuje se odloženi poreski rashod obračunat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ostali sveobuhvatni dobitak ili gubitak;</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6) pod oznakom AOP 2022 iskazuje se odloženi poreski prihod obračunat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ostali sveobuhvatni dobitak ili gubitak;</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7)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2023 i AOP 2024 iskazuju se neto ostali sveobuhvatni dobitak i neto ostali sveobuhvatni gubitak;</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8) pod oznakama AOP 2025 i 2026 iskazuje se ukupan neto sveobuhvatni dobitak ili gubitak perioda kao zbir neto dobitka ili gubitka sa oznaka AOP 2001 i 2002 i neto ostalog sveobuhvatnog dobitka ili gubitka sa oznaka AOP 2023 i 2024;</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9)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oznakama AOP 2028, odnosno AOP 2029 iskazuje se ukupan neto sveobuhvatni dobitak ili gubitak pripisan matičnom pravnom licu, odnosno učešćima bez prava kontrole.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Komponente ostalog sveobuhvatnog dobitka i gubitka pod oznakama AOP 2003 do AOP 2018 ovog obrasca, iskazuju se pojedinačno u bruto iznosu.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Podaci pod oznakom AOP 2028 i AOP 2029 unose se samo u konsolidovani Izveštaj o ostalom rezultatu.</w:t>
      </w:r>
    </w:p>
    <w:p w:rsidR="00BE39F9" w:rsidRPr="00BE39F9" w:rsidRDefault="00BE39F9" w:rsidP="00BE39F9">
      <w:pPr>
        <w:shd w:val="clear" w:color="auto" w:fill="FFFFFF"/>
        <w:spacing w:after="0" w:line="240" w:lineRule="auto"/>
        <w:textAlignment w:val="baseline"/>
        <w:outlineLvl w:val="2"/>
        <w:rPr>
          <w:rFonts w:ascii="Helvetica" w:eastAsia="Times New Roman" w:hAnsi="Helvetica" w:cs="Helvetica"/>
          <w:b/>
          <w:bCs/>
          <w:color w:val="D23232"/>
          <w:sz w:val="36"/>
          <w:szCs w:val="36"/>
        </w:rPr>
      </w:pPr>
      <w:r w:rsidRPr="00BE39F9">
        <w:rPr>
          <w:rFonts w:ascii="inherit" w:eastAsia="Times New Roman" w:hAnsi="inherit" w:cs="Helvetica"/>
          <w:b/>
          <w:bCs/>
          <w:color w:val="D23232"/>
          <w:sz w:val="36"/>
          <w:szCs w:val="36"/>
          <w:bdr w:val="none" w:sz="0" w:space="0" w:color="auto" w:frame="1"/>
        </w:rPr>
        <w:t>IV. SADRŽINA POZICIJA U OBRASCU IZVEŠTAJ O TOKOVIMA GOTOVINE</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10.</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U obrascu Izveštaj o tokovima gotovine, pravno lice, odnosno preduzetnik unosi podatke u kolone 3 i 4, prema sadržini i opisu pozicija označenih u koloni 1 tog obrasca.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tokovima gotovine (novčanim tokovima), u smislu ovog pravilnika, podrazumevaju se naplate i isplate u gotovini i gotovinskim ekvivalentima preko poslovnih računa i deviznog računa, uključujući kompenzacije, asignacije i cesije sprovedene preko tih računa.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Prenos između pojedinih računa gotovine i gotovinskih ekvivalenata u istom pravnom licu, odnosno kod preduzetnika ne smatra se tokom gotovine.</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Iznos priliva i odliva gotovine može se utvrditi na osnovu evidencije o prilivima i odlivima u blagajni, na poslovnim računima i deviznom računu ili sa odgovarajućih računa Bilansa stanja, Bilansa uspeha i grupa računa i računa u knjigovodstvu pravnih lica, odnosno preduzetnika.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Pri sastavljanju obrasca Izveštaj o tokovima gotovine, u kolonu 4 unose se podaci odgovarajućeg perioda prethodne godine, a za tekuću godinu podaci se unose u kolonu 3.</w:t>
      </w:r>
      <w:proofErr w:type="gramEnd"/>
    </w:p>
    <w:p w:rsidR="00BE39F9" w:rsidRPr="00BE39F9" w:rsidRDefault="00BE39F9" w:rsidP="00BE39F9">
      <w:pPr>
        <w:shd w:val="clear" w:color="auto" w:fill="FFFFFF"/>
        <w:spacing w:after="0" w:line="240" w:lineRule="auto"/>
        <w:textAlignment w:val="baseline"/>
        <w:outlineLvl w:val="3"/>
        <w:rPr>
          <w:rFonts w:ascii="Helvetica" w:eastAsia="Times New Roman" w:hAnsi="Helvetica" w:cs="Helvetica"/>
          <w:b/>
          <w:bCs/>
          <w:color w:val="D23232"/>
          <w:sz w:val="33"/>
          <w:szCs w:val="33"/>
        </w:rPr>
      </w:pPr>
      <w:r w:rsidRPr="00BE39F9">
        <w:rPr>
          <w:rFonts w:ascii="inherit" w:eastAsia="Times New Roman" w:hAnsi="inherit" w:cs="Helvetica"/>
          <w:b/>
          <w:bCs/>
          <w:color w:val="D23232"/>
          <w:sz w:val="33"/>
          <w:szCs w:val="33"/>
          <w:bdr w:val="none" w:sz="0" w:space="0" w:color="auto" w:frame="1"/>
        </w:rPr>
        <w:t>1. Tokovi gotovine iz poslovnih aktivnosti</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11.</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3001 – Prilivi gotovine iz poslovnih aktivnosti, upisuje se podatak o ukupnom prilivu gotovine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pozicija pod oznakom AOP 3002 do AOP 3005.</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3002 – Prodaja i primljeni avansi u zemlji, iskazuju se podaci o prilivu gotovine po osnovu naplaćenih potraživanja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kupaca u zemlji u toku obračunskog perioda i primljeni avansi od dobavljača u zemlji.</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3003 – Prodaja i primljeni avansi u inostranstvu, iskazuju se podaci o prilivu gotovine po osnovu naplaćenih potraživanja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kupaca iz inostranstva u toku obračunskog perioda i primljeni avansi od dobavljača iz inostranstva.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3004 – Primljene kamate iz poslovnih aktivnosti, iskazuju se podaci o prilivu gotovine po osnovu naplaćenih zateznih i ugovornih kamata po osnovu potraživanja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kupaca i druge naplaćene kamate iz poslovnih aktivnosti.</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3005 – Ostali prilivi iz redovnog poslovanja, iskazuju se podaci o prilivu gotovine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državnih organa po osnovu premija, subvencija, dotacija i sl, po osnovu naplate prihoda od zakupnina, članarina i ostalih poslovnih prihoda, kao i naplate potraživanja od zaposlenih i ostalih potraživanja.</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12.</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3006 – Odlivi gotovine iz poslovnih aktivnosti, upisuje se podatak o ukupnom odlivu gotovine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pozicija pod oznakama AOP 3007 do AOP 3014.</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3007 – Isplate dobavljačima i dati avansi u zemlji, iskazuju se iznosi izvršenih isplata dobavljačima u zemlji za nabavke sirovina i materijala i drugih troškova poslovanja u toku obračunskog perioda, kao i iznosi plaćenih avansa dobavljačima u zemlji za buduće nabavke materijala, robe, energije i usluga.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3008 – Isplate dobavljačima i dati avansi u inostranstvu, iskazuju se iznosi izvršenih isplata dobavljačima u inostranstvu za nabavke sirovina i materijala i drugih troškova poslovanja u toku obračunskog perioda, kao i iznosi plaćenih avansa dobavljačima za buduće nabavke materijala, robe, energije i usluga.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3009 – Zarade, naknade zarada i ostali lični rashodi, iskazuju se iznosi isplaćenih bruto zarada, naknada zarada i ostalih ličnih rashoda u toku obračunskog perioda.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3010 – Plaćene kamate u zemlji, iskazuju se sva plaćanja po osnovu kamata u zemlji u toku obračunskog perioda.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3011 – Plaćene kamate u inostranstvu, iskazuju se sva plaćanja po osnovu kamata u toku obračunskog perioda.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3012 – Porez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dobitak, iskazuju se iznosi plaćenih akontacija poreza na dobitak u toku obračunskog perioda i po konačnom obračunu za prethodnu godinu, umanjeni za izvršene povraćaje u toku obračunskog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3013 – Odlivi po osnovu ostalih javnih prihoda, iskazuju se iznosi isplata u toku obračunskog perioda po osnovu akciza, poreza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dodatu vrednost i ostalih poreza, carina i drugih dažbina.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3014 – Ostali odlivi iz poslovnih aktivnosti, iskazuju se odlivi gotovine iz poslovnih aktivnosti za koje u ovom obrascu nije predviđena posebna pozicija (kao što su odlivi za date donacije, subvencije i dr.).</w:t>
      </w:r>
      <w:proofErr w:type="gramEnd"/>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13.</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3015 – Neto priliv gotovine iz poslovnih aktivnosti, iskazuje se razlika između pozicija pod oznakom AOP 3001 – Prilivi gotovine iz poslovnih aktivnosti i AOP 3006 – Odlivi gotovine iz poslovnih aktivnosti.</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3016 – Neto odliv gotovine iz poslovnih aktivnosti, iskazuje se razlika između pozicija pod oznakom AOP 3006 – Odlivi gotovine iz poslovnih aktivnosti i AOP 3001 – Prilivi gotovine iz poslovnih aktivnosti.</w:t>
      </w:r>
      <w:proofErr w:type="gramEnd"/>
    </w:p>
    <w:p w:rsidR="00BE39F9" w:rsidRPr="00BE39F9" w:rsidRDefault="00BE39F9" w:rsidP="00BE39F9">
      <w:pPr>
        <w:shd w:val="clear" w:color="auto" w:fill="FFFFFF"/>
        <w:spacing w:after="0" w:line="240" w:lineRule="auto"/>
        <w:textAlignment w:val="baseline"/>
        <w:outlineLvl w:val="3"/>
        <w:rPr>
          <w:rFonts w:ascii="Helvetica" w:eastAsia="Times New Roman" w:hAnsi="Helvetica" w:cs="Helvetica"/>
          <w:b/>
          <w:bCs/>
          <w:color w:val="D23232"/>
          <w:sz w:val="33"/>
          <w:szCs w:val="33"/>
        </w:rPr>
      </w:pPr>
      <w:r w:rsidRPr="00BE39F9">
        <w:rPr>
          <w:rFonts w:ascii="inherit" w:eastAsia="Times New Roman" w:hAnsi="inherit" w:cs="Helvetica"/>
          <w:b/>
          <w:bCs/>
          <w:color w:val="D23232"/>
          <w:sz w:val="33"/>
          <w:szCs w:val="33"/>
          <w:bdr w:val="none" w:sz="0" w:space="0" w:color="auto" w:frame="1"/>
        </w:rPr>
        <w:t>2. Tokovi gotovine iz aktivnosti investiranja</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14.</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3017 – Prilivi gotovine iz aktivnosti investiranja, upisuje se podatak o ukupnom prilivu gotovine iz aktivnosti investiranja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pozicija pod oznakama AOP 3018 do AOP 3022.</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3018 – Prodaja akcija i udela, iskazuje se iznos primljene gotovine u toku obračunskog perioda po osnovu prodaje akcija i udela.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3019 – Prodaja nematerijalne imovine, nekretnina, postrojenja, opreme i bioloških sredstava, iskazuje se iznos primljene gotovine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prodaje nematerijalne imovine, osnovnih sredstava i bioloških sredstava u toku obračunskog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3020 – Ostali finansijski plasmani, iskazuje se iznos primljene gotovine u toku obračunskog perioda po osnovu prodaje kratkoročnih i dugoročnih finansijskih plasmana.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3021 – Primljene kamate iz aktivnosti investiranja, iskazuje se iznos gotovine po osnovu naplaćenih kamata u toku obračunskog perioda iz aktivnosti investiranja.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3022 – Primljene dividende, iskazuje se iznos primljene gotovine po ovom osnovu u toku obračunskog perioda.</w:t>
      </w:r>
      <w:proofErr w:type="gramEnd"/>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15.</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3023 – Odlivi gotovine iz aktivnosti investiranja, upisuje se podatak o ukupnom odlivu gotovine iz aktivnosti investiranja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pozicija pod oznakom AOP 3024 do AOP 3026.</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3024 – Kupovina akcija i udela, iskazuje se iznos odliva gotovine po osnovu sticanja akcija i udela.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3025 – Kupovina nematerijalne imovine, nekretnina, postrojenja, opreme i bioloških sredstava, iskazuje se iznos odliva gotovine po osnovu pribavljanja nematerijalne imovine, osnovnih sredstava i bioloških sredstava u toku obračunskog perioda.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3026 – Ostali finansijski plasmani, iskazuje se iznos odliva gotovine po osnovu kupovine dugoročnih i kratkoročnih finansijskih plasmana.</w:t>
      </w:r>
      <w:proofErr w:type="gramEnd"/>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16.</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3027 – Neto priliv gotovine iz aktivnosti investiranja, iskazuje se razlika između pozicije pod oznakom AOP 3017 – Prilivi gotovine iz aktivnosti investiranja i AOP 3023 – Odlivi gotovine iz aktivnosti investiranja.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3028 – Neto odliv gotovine iz aktivnosti investiranja, iskazuje se razlika između pozicije pod oznakom AOP 3023 – Odlivi gotovine iz aktivnosti investiranja i AOP 3017 – Prilivi gotovine iz aktivnosti investiranja.</w:t>
      </w:r>
      <w:proofErr w:type="gramEnd"/>
    </w:p>
    <w:p w:rsidR="00BE39F9" w:rsidRPr="00BE39F9" w:rsidRDefault="00BE39F9" w:rsidP="00BE39F9">
      <w:pPr>
        <w:shd w:val="clear" w:color="auto" w:fill="FFFFFF"/>
        <w:spacing w:after="0" w:line="240" w:lineRule="auto"/>
        <w:textAlignment w:val="baseline"/>
        <w:outlineLvl w:val="3"/>
        <w:rPr>
          <w:rFonts w:ascii="Helvetica" w:eastAsia="Times New Roman" w:hAnsi="Helvetica" w:cs="Helvetica"/>
          <w:b/>
          <w:bCs/>
          <w:color w:val="D23232"/>
          <w:sz w:val="33"/>
          <w:szCs w:val="33"/>
        </w:rPr>
      </w:pPr>
      <w:r w:rsidRPr="00BE39F9">
        <w:rPr>
          <w:rFonts w:ascii="inherit" w:eastAsia="Times New Roman" w:hAnsi="inherit" w:cs="Helvetica"/>
          <w:b/>
          <w:bCs/>
          <w:color w:val="D23232"/>
          <w:sz w:val="33"/>
          <w:szCs w:val="33"/>
          <w:bdr w:val="none" w:sz="0" w:space="0" w:color="auto" w:frame="1"/>
        </w:rPr>
        <w:t>3. Tokovi gotovine iz aktivnosti finansiranja</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17.</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3029 – Prilivi gotovine iz aktivnosti finansiranja, upisuje se podatak o ukupnom prilivu gotovine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pozicija pod oznakama AOP 3030 do AOP 3036.</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3030 – Uvećanje osnovnog kapitala, iskazuju se iznosi priliva gotovine po osnovu uplate akcija i drugih trajnih udela u osnovni kapital pravnih lica, odnosno preduzetnika.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3031 i AOP 3032 – Dugoročni krediti, iskazuje se iznos priliva gotovine po osnovu dugoročnih kredita u zemlji i inostranstvu.</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3033 i 3034 – Kratkoročni krediti, iskazuje se iznos priliva gotovine po osnovu kratkoročnih kredita u zemlji i inostranstvu.</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3035 – Ostale dugoročne obaveze, iskazuje se iznos priliva gotovine po osnovu ostalih dugoročnih obaveza pravnih lica, odnosno preduzetnika.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3036 – Ostale kratkoročne obaveze, iskazuje se iznos priliva gotovine po osnovu ostalih kratkoročnih obaveza pravnih lica, odnosno preduzetnika.</w:t>
      </w:r>
      <w:proofErr w:type="gramEnd"/>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18.</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3037 – Odlivi gotovine iz aktivnosti finansiranja, upisuje se podatak o ukupnom odlivu gotovine iz aktivnosti finansiranja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pozicija pod oznakom AOP 3038 do AOP 3045.</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3038 – Otkup sopstvenih akcija i udela, iskazuje se iznos odliva gotovine u toku obračunskog perioda za otkup sopstvenih akcija i udela.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3039 – Dugoročni krediti u zemlji iskazuje se iznos odliva gotovine po osnovu otplate dugoročnih kredita u zemlji.</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3040 – Dugoročni krediti u inostranstvu iskazuje se iznos odliva gotovine po osnovu otplate dugoročnih kredita u inostranstvu.</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3041 – Kratkoročni krediti u zemlji iskazuje se iznos odliva gotovine po osnovu otplate kratkoročnih kredita u zemlji.</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3042 – Kratkoročni krediti u inostranstvu iskazuje se iznos odliva gotovine po osnovu otplate kratkoročnih kredita inostranstvu.</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3043 – Ostale obaveze, iskazuje se iznos odliva gotovine po osnovu otplate drugih obaveza.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3044 – Finansijski lizing, iskazuje se iznos odliva gotovine u toku obračunskog perioda po osnovu plaćanja za sredstva uzeta u finansijski lizing.</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3045 – Isplaćene dividende, iskazuje se iznos odliva gotovine po osnovu dividendi u toku obračunskog perioda.</w:t>
      </w:r>
      <w:proofErr w:type="gramEnd"/>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19.</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3046 – Neto priliv gotovine iz aktivnosti finansiranja, iskazuje se razlika između pozicija pod oznakom AOP 3029 – Prilivi gotovine iz aktivnosti finansiranja i AOP 3037 Odlivi gotovine iz aktivnosti finansiranja.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3047 – Neto odliv gotovine iz aktivnosti finansiranja, iskazuje se razlika između pozicija pod oznakom AOP 3037 – Odlivi gotovine iz aktivnosti finansiranja i AOP 3029 – Prilivi gotovine iz aktivnosti finansiranja.</w:t>
      </w:r>
      <w:proofErr w:type="gramEnd"/>
    </w:p>
    <w:p w:rsidR="00BE39F9" w:rsidRPr="00BE39F9" w:rsidRDefault="00BE39F9" w:rsidP="00BE39F9">
      <w:pPr>
        <w:shd w:val="clear" w:color="auto" w:fill="FFFFFF"/>
        <w:spacing w:after="0" w:line="240" w:lineRule="auto"/>
        <w:textAlignment w:val="baseline"/>
        <w:outlineLvl w:val="3"/>
        <w:rPr>
          <w:rFonts w:ascii="Helvetica" w:eastAsia="Times New Roman" w:hAnsi="Helvetica" w:cs="Helvetica"/>
          <w:b/>
          <w:bCs/>
          <w:color w:val="D23232"/>
          <w:sz w:val="33"/>
          <w:szCs w:val="33"/>
        </w:rPr>
      </w:pPr>
      <w:r w:rsidRPr="00BE39F9">
        <w:rPr>
          <w:rFonts w:ascii="inherit" w:eastAsia="Times New Roman" w:hAnsi="inherit" w:cs="Helvetica"/>
          <w:b/>
          <w:bCs/>
          <w:color w:val="D23232"/>
          <w:sz w:val="33"/>
          <w:szCs w:val="33"/>
          <w:bdr w:val="none" w:sz="0" w:space="0" w:color="auto" w:frame="1"/>
        </w:rPr>
        <w:t>4. Zaključivanje izveštaja o tokovima gotovine</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20.</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3048 – Svega priliv gotovine, iskazuje se zbir iznosa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pozicijama AOP 3001, AOP 3017 i AOP 3029.</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3049 – Svega odliv gotovine, iskazuje se zbir iznosa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pozicijama AOP 3006, AOP 3023 i AOP 3037.</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3050 – Neto priliv gotovine, iskazuje se razlika između iznosa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pozicijama AOP 3048 i AOP 3049.</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3051 – Neto odliv gotovine, iskazuje se razlika između iznosa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pozicijama AOP 3049 i AOP 3048.</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3052 – Gotovina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početku obračunskog perioda, iskazuje se iznos gotovine na dan 1. </w:t>
      </w:r>
      <w:proofErr w:type="gramStart"/>
      <w:r w:rsidRPr="00BE39F9">
        <w:rPr>
          <w:rFonts w:ascii="inherit" w:eastAsia="Times New Roman" w:hAnsi="inherit" w:cs="Helvetica"/>
          <w:color w:val="333333"/>
          <w:sz w:val="27"/>
          <w:szCs w:val="27"/>
        </w:rPr>
        <w:t>januara</w:t>
      </w:r>
      <w:proofErr w:type="gramEnd"/>
      <w:r w:rsidRPr="00BE39F9">
        <w:rPr>
          <w:rFonts w:ascii="inherit" w:eastAsia="Times New Roman" w:hAnsi="inherit" w:cs="Helvetica"/>
          <w:color w:val="333333"/>
          <w:sz w:val="27"/>
          <w:szCs w:val="27"/>
        </w:rPr>
        <w:t xml:space="preserve"> prethodne i tekuće godine.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3053 – Pozitivne kursne razlike po osnovu preračuna gotovine, iskazuje se iznos realizovanih pozitivnih kursnih razlika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datum bilansa.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3054 – Negativne kursne razlike po osnovu preračuna gotovine, iskazuje se iznos realizovanih negativnih kursnih razlika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datum bilansa.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3055 – Gotovina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kraju obračunskog perioda, iskazuje se iznos gotovine na kraju obračunskog perioda AOP (3050 – 3051 + 3052 + 3053 – 3054).</w:t>
      </w:r>
    </w:p>
    <w:p w:rsidR="00BE39F9" w:rsidRPr="00BE39F9" w:rsidRDefault="00BE39F9" w:rsidP="00BE39F9">
      <w:pPr>
        <w:shd w:val="clear" w:color="auto" w:fill="FFFFFF"/>
        <w:spacing w:after="0" w:line="240" w:lineRule="auto"/>
        <w:textAlignment w:val="baseline"/>
        <w:outlineLvl w:val="2"/>
        <w:rPr>
          <w:rFonts w:ascii="Helvetica" w:eastAsia="Times New Roman" w:hAnsi="Helvetica" w:cs="Helvetica"/>
          <w:b/>
          <w:bCs/>
          <w:color w:val="D23232"/>
          <w:sz w:val="36"/>
          <w:szCs w:val="36"/>
        </w:rPr>
      </w:pPr>
      <w:r w:rsidRPr="00BE39F9">
        <w:rPr>
          <w:rFonts w:ascii="inherit" w:eastAsia="Times New Roman" w:hAnsi="inherit" w:cs="Helvetica"/>
          <w:b/>
          <w:bCs/>
          <w:color w:val="D23232"/>
          <w:sz w:val="36"/>
          <w:szCs w:val="36"/>
          <w:bdr w:val="none" w:sz="0" w:space="0" w:color="auto" w:frame="1"/>
        </w:rPr>
        <w:t>V. SADRŽINA POZICIJA U OBRASCU IZVEŠTAJ O PROMENAMA NA KAPITALU</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21.</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br. 1.</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4001 iskazuje se stanje na računima osnovnog kapitala (grupa računa 30 – Osnovni i ostali kapital, bez računa 306 – Emisiona premija i računa 309 – Ostali osnovni kapital)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1.</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4010 iskazuje se stanje na računu 309 – Ostali osnovni kapital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1.</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4019 iskazuje se stanje na grupi računa 31 – Upisani a neuplaćeni kapital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1.</w:t>
      </w:r>
      <w:proofErr w:type="gramEnd"/>
      <w:r w:rsidRPr="00BE39F9">
        <w:rPr>
          <w:rFonts w:ascii="inherit" w:eastAsia="Times New Roman" w:hAnsi="inherit" w:cs="Helvetica"/>
          <w:color w:val="333333"/>
          <w:sz w:val="27"/>
          <w:szCs w:val="27"/>
        </w:rPr>
        <w:t xml:space="preserve"> pod oznakom AOP 4028 iskazuje se stanje na računima 306 – Emisiona premija, 321 – Zakonske rezerve, 322 – Statutarne i druge rezerve i 323 – Dodatne uplate kojima se ne povećava kapital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1.</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4037 iskazuje se stanje na grupi računa 33 – Revalorizacione rezerve i nerealizovani dobici i gubici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1.</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4046 iskazuje se stanje na grupi računa 34 – Neraspoređeni dobitak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1.</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4055 iskazuje se stanje na grupi računa 35 – Gubitak,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1.</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4064 popunjavaju se podaci samo u konsolidovanom izveštaju o promenama na kapitalu.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1.</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4073 iskazuje se ukupno stanje kapitala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1.</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4082 iskazuje se gubitak iznad visine kapitala na dan početka prethodnog izveštajnog perioda.</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22.</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2.</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4002 iskazuje se neto promena stanja na računima osnovnog kapitala (grupa računa 30 – Osnovni kapital, bez računa 306 – Emisiona premija i računa 309 – Ostali osnovni kapital) po osnovu retroaktivne ispravke materijalno značajnih grešaka i efekata promene računovodstvenih politika koja je izvršena u prethodnom izveštajnom periodu.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2.</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4011 iskazuje se neto promena stanja na računu 309 – Ostali osnovni kapital po osnovu retroaktivne ispravke materijalno značajnih grešaka i efekata promene računovodstvenih politika koja je izvršena u prethodnom izveštajnom periodu.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2.</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4020 iskazuje se neto promena stanja na grupi računa 31 – Upisani a neuplaćeni kapital po osnovu retroaktivne ispravke materijalno značajnih grešaka i efekata promene računovodstvenih politika koja je izvršena u prethodnom izveštajnom periodu.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2.</w:t>
      </w:r>
      <w:proofErr w:type="gramEnd"/>
      <w:r w:rsidRPr="00BE39F9">
        <w:rPr>
          <w:rFonts w:ascii="inherit" w:eastAsia="Times New Roman" w:hAnsi="inherit" w:cs="Helvetica"/>
          <w:color w:val="333333"/>
          <w:sz w:val="27"/>
          <w:szCs w:val="27"/>
        </w:rPr>
        <w:t xml:space="preserve"> pod oznakom AOP 4029 iskazuje se stanje na računima 306 – Emisiona premija, 321 – Zakonske rezerve, 322 – Statutarne i druge rezerve i 323 – Dodatne uplate kojima se ne povećava kapital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2.</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4038 iskazuje se neto promena stanja na grupi računa 33 – Revalorizacione rezerve i nerealizovani dobici i gubici po osnovu retroaktivne ispravke materijalno značajnih grešaka i promene računovodstvenih politika koja je izvršena u prethodnom izveštajnom periodu.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2.</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4047 iskazuje se neto promena stanja na grupi računa 34 – Neraspoređeni dobitak po osnovu retroaktivne ispravke materijalno značajnih grešaka i efekata promene računovodstvenih politika koja je izvršena u prethodnom izveštajnom periodu.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2.</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4056 iskazuje se neto promena stanja na grupi računa 35 – Gubitak, po osnovu retroaktivne ispravke materijalno značajnih grešaka i efekata promene računovodstvenih politika koja je izvršena u prethodnom izveštajnom periodu.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2.</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4065 popunjavaju se podaci samo u konsolidovanom izveštaju o promenama na kapitalu.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2.</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4074 iskazuje se ukupne neto promene stanja kapitala po osnovu retroaktivne ispravke materijalno značajnih grešaka i efekata promene računovodstvenih politika koja je izvršena u prethodnom izveštajnom periodu.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2.</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4083 iskazuje se neto promene stanja gubitka iznad visine kapitala po osnovu retroaktivne ispravke materijalno značajnih grešaka i efekata promene računovodstvenih politika koja je izvršena u prethodnom izveštajnom periodu.</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23.</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3.</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4003 iskazuje se korigovano početno stanje na računima osnovnog kapitala (grupa računa 30 – Osnovni kapital bez računa 306 – Emisiona premija i računa 309 – Ostali osnovni kapital)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3.</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4012 iskazuje se korigovano početno stanje na računu 309 – Ostali osnovni kapital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3.</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4021 iskazuje se korigovano početno stanje na grupi računa 31 – Upisani a neuplaćeni kapital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3.</w:t>
      </w:r>
      <w:proofErr w:type="gramEnd"/>
      <w:r w:rsidRPr="00BE39F9">
        <w:rPr>
          <w:rFonts w:ascii="inherit" w:eastAsia="Times New Roman" w:hAnsi="inherit" w:cs="Helvetica"/>
          <w:color w:val="333333"/>
          <w:sz w:val="27"/>
          <w:szCs w:val="27"/>
        </w:rPr>
        <w:t xml:space="preserve"> pod oznakom AOP 4030 iskazuje se stanje na računima 306 – Emisiona premija, 321 – Zakonske rezerve, 322 – Statutarne i druge rezerve i 323 – Dodatne uplate kojima se ne povećava kapital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3.</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4039 iskazuje se korigovano početno stanje na grupi računa 33 – Revalorizacione rezerve i nerealizovani dobici i gubici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3.</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4048 iskazuje se korigovano početno stanje na grupi računa 34 – Neraspoređeni dobitak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3.</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4057 iskazuje se korigovano početno stanje na grupi računa 35 – Gubitak,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3.</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4066 popunjavaju se podaci samo u konsolidovanom izveštaju o promenama na kapitalu.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3.</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4075 iskazuje se ukupno korigovano početno stanje kapitala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3.</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4084 iskazuje se korigovano početno stanje gubitka iznad visine kapitala na dan početka prethodnog izveštajnog perioda.</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24.</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4.</w:t>
      </w:r>
      <w:proofErr w:type="gramEnd"/>
      <w:r w:rsidRPr="00BE39F9">
        <w:rPr>
          <w:rFonts w:ascii="inherit" w:eastAsia="Times New Roman" w:hAnsi="inherit" w:cs="Helvetica"/>
          <w:color w:val="333333"/>
          <w:sz w:val="27"/>
          <w:szCs w:val="27"/>
        </w:rPr>
        <w:t xml:space="preserve"> pod oznakom AOP 4004 iskazuje se neto promena stanja na računima osnovnog kapitala (grupa računa 30 – Osnovni kapital bez računa 306 – Emisiona premija i računa 309 – Ostali osnovni kapital) u prethodnoj godini po svim osnovama, izuzev promene po osnovu ispravke materijalno značajnih grešaka i efekata promene računovodstvenih politika koje je izvršeno na početku tekućeg izveštajnog perioda a odnosi se na prethodni izveštajni period.</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4.</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4013 iskazuje se neto promena stanja na računu 309 – Ostali osnovni kapital u prethodnoj godini po svim osnovama, izuzev promene po osnovu ispravke materijalno značajnih grešaka i efekata promene računovodstvenih politika koje je izvršeno na početku tekućeg izveštajnog perioda a odnosi se na prethodni izveštajni period.</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4.</w:t>
      </w:r>
      <w:proofErr w:type="gramEnd"/>
      <w:r w:rsidRPr="00BE39F9">
        <w:rPr>
          <w:rFonts w:ascii="inherit" w:eastAsia="Times New Roman" w:hAnsi="inherit" w:cs="Helvetica"/>
          <w:color w:val="333333"/>
          <w:sz w:val="27"/>
          <w:szCs w:val="27"/>
        </w:rPr>
        <w:t xml:space="preserve"> pod oznakom AOP 4022 iskazuje se neto promena stanja na grupi računa 31 – Upisani a neuplaćeni kapital u prethodnoj godini po svim osnovama, izuzev promene po osnovu ispravke materijalno značajnih grešaka i efekata promene računovodstvenih politika koje je izvršeno na početku tekućeg izveštajnog perioda a odnosi se na prethodni izveštajni period.</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4.</w:t>
      </w:r>
      <w:proofErr w:type="gramEnd"/>
      <w:r w:rsidRPr="00BE39F9">
        <w:rPr>
          <w:rFonts w:ascii="inherit" w:eastAsia="Times New Roman" w:hAnsi="inherit" w:cs="Helvetica"/>
          <w:color w:val="333333"/>
          <w:sz w:val="27"/>
          <w:szCs w:val="27"/>
        </w:rPr>
        <w:t xml:space="preserve"> pod oznakom AOP 4031 iskazuje se stanje na računima 306 – Emisiona premija, 321 – Zakonske rezerve, 322 – Statutarne i druge rezerve i 323 – Dodatne uplate kojima se ne povećava kapital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4.</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4040 iskazuje se neto promena stanja na grupi računa 33 – Revalorizacione rezerve i nerealizovani dobici i gubici u prethodnoj godini po svim osnovama, izuzev promene po osnovu ispravke materijalno značajnih grešaka i efekata promene računovodstvenih politika koje je izvršeno na početku tekućeg izveštajnog perioda a odnosi se na prethodni izveštajni period.</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4.</w:t>
      </w:r>
      <w:proofErr w:type="gramEnd"/>
      <w:r w:rsidRPr="00BE39F9">
        <w:rPr>
          <w:rFonts w:ascii="inherit" w:eastAsia="Times New Roman" w:hAnsi="inherit" w:cs="Helvetica"/>
          <w:color w:val="333333"/>
          <w:sz w:val="27"/>
          <w:szCs w:val="27"/>
        </w:rPr>
        <w:t xml:space="preserve"> pod oznakom AOP 4049 iskazuje se neto promena stanja na grupi računa 34 – Neraspoređeni dobitak u prethodnom izveštajnom periodu po svim osnovama, izuzev promene po osnovu ispravke materijalno značajnih grešaka i efekata promene računovodstvenih politika koje je izvršeno na početku tekućeg izveštajnog perioda a odnosi se na prethodni izveštajni period.</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4.</w:t>
      </w:r>
      <w:proofErr w:type="gramEnd"/>
      <w:r w:rsidRPr="00BE39F9">
        <w:rPr>
          <w:rFonts w:ascii="inherit" w:eastAsia="Times New Roman" w:hAnsi="inherit" w:cs="Helvetica"/>
          <w:color w:val="333333"/>
          <w:sz w:val="27"/>
          <w:szCs w:val="27"/>
        </w:rPr>
        <w:t xml:space="preserve"> pod oznakom AOP 4058 iskazuje se neto promena stanja na grupi računa 35 – Gubitak, u prethodnom izveštajnom periodu po svim osnovama, izuzev promene po osnovu ispravke materijalno značajnih grešaka i efekata promene računovodstvenih politika koje je izvršeno na početku tekućeg izveštajnog perioda a odnosi se na prethodni izveštajni period.</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4.</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4067 popunjavaju se podaci samo u konsolidovanom izveštaju o promenama na kapitalu.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4.</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4076 iskazuje se ukupna neto promena stanja kapitala u prethodnoj godini po svim osnovama, izuzev promene po osnovu ispravke materijalno značajnih grešaka i efekata promene računovodstvenih politika koje je izvršeno na početku tekućeg izveštajnog perioda a odnosi se na prethodni izveštajni period.</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4.</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4085 iskazuje se promena stanja gubitka iznad visine kapitala, izuzev promene po osnovu ispravke materijalno značajnih grešaka i efekata promene računovodstvenih politika koje je izvršeno na početku tekućeg izveštajnog perioda a odnosi se na prethodni izveštajni period.</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25.</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5.</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4005 iskazuje se stanje na računima osnovnog kapitala (grupa računa 30 – Osnovni kapital bez računa 306 – Emisiona premija i računa 309 – Ostali osnovni kapital) na datum bilansa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5.</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4014 iskazuje se stanje na računu 309 – Ostali kapital na datum bilansa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5.</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4023 iskazuje se stanje na grupi računa 31 – Upisani a neuplaćeni kapital na datum bilansa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5.</w:t>
      </w:r>
      <w:proofErr w:type="gramEnd"/>
      <w:r w:rsidRPr="00BE39F9">
        <w:rPr>
          <w:rFonts w:ascii="inherit" w:eastAsia="Times New Roman" w:hAnsi="inherit" w:cs="Helvetica"/>
          <w:color w:val="333333"/>
          <w:sz w:val="27"/>
          <w:szCs w:val="27"/>
        </w:rPr>
        <w:t xml:space="preserve"> pod oznakom AOP 4032 iskazuje se stanje na računima 306 – Emisiona premija, 321 – Zakonske rezerve, 322 – Statutarne i druge rezerve i 323 – Dodatne uplate kojima se ne povećava kapital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5.</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4041 iskazuje se stanje na grupi računa 33 – Revalorizacione rezerve i nerealizovani dobici i gubici na datum bilansa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5.</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4050 iskazuje se stanje na grupi računa 34 – Neraspoređeni dobitak na datum bilansa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5.</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4059 iskazuje se stanje na grupi računa 35 – Gubitak, na datum bilansa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5.</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4068 popunjavaju se podaci samo u konsolidovanom izveštaju o promenama na kapitalu.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5.</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4077 iskazuje se ukupno stanje datum bilansa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5.</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4086 iskazuje se stanje gubitka iznad visine kapitala na datum bilansa prethodnog izveštajnog perioda.</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26.</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6.</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4006 iskazuje se neto promena stanja na računima osnovnog kapitala (grupa računa 30 – Osnovni kapital bez računa 306 – Emisiona premija i računa 309 – Ostali osnovni kapital) po osnovu ispravke materijalno značajnih grešaka i promene računovodstvenih politika koja je izvršena u tekućem izveštajnom periodu.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6.</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4015 iskazuje se neto promena stanja na računu 309 – Ostali osnovni kapital po osnovu retroaktivne ispravke materijalno značajnih grešaka i promene računovodstvenih politika koja je izvršena u tekućem izveštajnom periodu.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6.</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4024 iskazuje se neto promena stanja na grupi računa 31 – Upisani a neuplaćeni kapital po osnovu retroaktivne ispravke materijalno značajnih grešaka i promene računovodstvenih politika koja je izvršena u tekućem izveštajnom periodu.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6.</w:t>
      </w:r>
      <w:proofErr w:type="gramEnd"/>
      <w:r w:rsidRPr="00BE39F9">
        <w:rPr>
          <w:rFonts w:ascii="inherit" w:eastAsia="Times New Roman" w:hAnsi="inherit" w:cs="Helvetica"/>
          <w:color w:val="333333"/>
          <w:sz w:val="27"/>
          <w:szCs w:val="27"/>
        </w:rPr>
        <w:t xml:space="preserve"> pod oznakom AOP 4033 iskazuje se stanje na računima 306 – Emisiona premija, 321 – Zakonske rezerve, 322 – Statutarne i druge rezerve i 323 – Dodatne uplate kojima se ne povećava kapital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6.</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4042 iskazuje se neto promena stanja na grupi računa 33 – Revalorizacione rezerve i nerealizovani dobici i gubici po osnovu retroaktivne ispravke materijalno značajnih grešaka i promene računovodstvenih politika koja je izvršena u tekućem izveštajnom periodu.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6.</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4051 iskazuje se neto promena stanja na grupi računa 34 – Neraspoređeni dobitak po osnovu retroaktivne ispravke materijalno značajnih grešaka i promene računovodstvenih politika koja je izvršena u tekućem izveštajnom periodu.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6.</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4060 iskazuje se neto promena stanja na grupi računa 35 – Gubitak, po osnovu retroaktivne ispravke materijalno značajnih grešaka i promene računovodstvenih politika koja je izvršena u tekućem izveštajnom periodu.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6.</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4069 popunjavaju se podaci samo u konsolidovanom izveštaju o promenama na kapitalu.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6.</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4078 iskazuje se ukupna neto promena stanja kapitala po osnovu retroaktivne ispravke materijalno značajnih grešaka i promene računovodstvenih politika koja je izvršena u tekućem izveštajnom periodu.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6.</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4087 iskazuje se promena stanja gubitka iznad visine kapitala po osnovu retroaktivne ispravke materijalno značajnih grešaka i promene računovodstvenih politika koja je izvršena u tekućem izveštajnom periodu.</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27.</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7.</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4007 iskazuje se korigovano početno stanje na računima osnovnog kapitala (grupa računa 30 – Osnovni kapital bez računa 306 – Emisiona premija i računa 309 – Ostali osnovni kapital) na dan početka tekućeg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7.</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4016 iskazuje se korigovano početno stanje na računu 309 – Ostali osnovni kapital na dan početka tekućeg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7.</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4025 iskazuje se korigovano početno stanje na grupi računa 31 – Upisani a neuplaćeni kapital na dan početka tekućeg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7.</w:t>
      </w:r>
      <w:proofErr w:type="gramEnd"/>
      <w:r w:rsidRPr="00BE39F9">
        <w:rPr>
          <w:rFonts w:ascii="inherit" w:eastAsia="Times New Roman" w:hAnsi="inherit" w:cs="Helvetica"/>
          <w:color w:val="333333"/>
          <w:sz w:val="27"/>
          <w:szCs w:val="27"/>
        </w:rPr>
        <w:t xml:space="preserve"> pod oznakom AOP 4034 iskazuje se stanje na računima 306 – Emisiona premija, 321 – Zakonske rezerve, 322 – Statutarne i druge rezerve i 323 – Dodatne uplate kojima se ne povećava kapital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7.</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4043 iskazuje se korigovano početno stanje na grupi računa 33 – Revalorizacione rezerve i nerealizovani dobici i gubici na dan početka tekućeg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7.</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4052 iskazuje se korigovano početno stanje na grupi računa 34 – Neraspoređeni dobitak na dan početka tekućeg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7.</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4061 iskazuje se korigovano početno stanje na grupi računa 35 – Gubitak, na dan početka tekućeg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7.</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4070 popunjavaju se podaci samo u konsolidovanom izveštaju o promenama na kapitalu.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7.</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4079 iskazuje se ukupno korigovano početno stanje kapitala na dan početka tekućeg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7.</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4088 iskazuje se korigovano početno stanje gubitka iznad visine kapitala na dan početka tekućeg izveštajnog perioda.</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28.</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8.</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4008 iskazuje se neto promena stanja na računima osnovnog kapitala (grupa računa 30 – Osnovni kapital bez računa 306 – Emisiona premija i računa 309 – Ostali osnovni kapital) u tekućem izveštajnom periodu po svim osnovama, izuzev promene u početnom stanju po osnovu ispravke materijalno značajnih grešaka i promene računovodstvenih politika.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8.</w:t>
      </w:r>
      <w:proofErr w:type="gramEnd"/>
      <w:r w:rsidRPr="00BE39F9">
        <w:rPr>
          <w:rFonts w:ascii="inherit" w:eastAsia="Times New Roman" w:hAnsi="inherit" w:cs="Helvetica"/>
          <w:color w:val="333333"/>
          <w:sz w:val="27"/>
          <w:szCs w:val="27"/>
        </w:rPr>
        <w:t xml:space="preserve"> pod oznakom AOP 4017 iskazuje se neto promena stanja na računu 309 – Ostali osnovni kapital u tekućem izveštajnom periodu po svim osnovama, izuzev promene u početnom stanju po osnovu ispravke materijalno značajnih grešaka i promene računovodstvenih politika.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8.</w:t>
      </w:r>
      <w:proofErr w:type="gramEnd"/>
      <w:r w:rsidRPr="00BE39F9">
        <w:rPr>
          <w:rFonts w:ascii="inherit" w:eastAsia="Times New Roman" w:hAnsi="inherit" w:cs="Helvetica"/>
          <w:color w:val="333333"/>
          <w:sz w:val="27"/>
          <w:szCs w:val="27"/>
        </w:rPr>
        <w:t xml:space="preserve"> pod oznakom AOP 4026 iskazuje se neto promena stanja na grupi računa 31 – Upisani a neuplaćeni kapital u tekućem izveštajnom periodu po svim osnovama, izuzev promene u početnom stanju po osnovu ispravke materijalno značajnih grešaka i promene računovodstvenih politika.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8.</w:t>
      </w:r>
      <w:proofErr w:type="gramEnd"/>
      <w:r w:rsidRPr="00BE39F9">
        <w:rPr>
          <w:rFonts w:ascii="inherit" w:eastAsia="Times New Roman" w:hAnsi="inherit" w:cs="Helvetica"/>
          <w:color w:val="333333"/>
          <w:sz w:val="27"/>
          <w:szCs w:val="27"/>
        </w:rPr>
        <w:t xml:space="preserve"> pod oznakom AOP 4035 iskazuje se stanje na računima 306 – Emisiona premija, 321 – Zakonske rezerve, 322 – Statutarne i druge rezerve i 323 – Dodatne uplate kojima se ne povećava kapital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8.</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4044 iskazuje se neto promena stanja na grupi računa 33 – Revalorizacione rezerve i nerealizovani dobici i gubici u tekućem izveštajnom periodu po svim osnovama, izuzev promene u početnom stanju po osnovu ispravke materijalno značajnih grešaka i promene računovodstvenih politika.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8.</w:t>
      </w:r>
      <w:proofErr w:type="gramEnd"/>
      <w:r w:rsidRPr="00BE39F9">
        <w:rPr>
          <w:rFonts w:ascii="inherit" w:eastAsia="Times New Roman" w:hAnsi="inherit" w:cs="Helvetica"/>
          <w:color w:val="333333"/>
          <w:sz w:val="27"/>
          <w:szCs w:val="27"/>
        </w:rPr>
        <w:t xml:space="preserve"> pod oznakom AOP 4053 iskazuje se neto promena stanja na grupi računa 34 – Neraspoređeni dobitak u tekućem izveštajnom periodu po svim osnovama, izuzev promene u početnom stanju po osnovu ispravke materijalno značajnih grešaka i promene računovodstvenih politika.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8.</w:t>
      </w:r>
      <w:proofErr w:type="gramEnd"/>
      <w:r w:rsidRPr="00BE39F9">
        <w:rPr>
          <w:rFonts w:ascii="inherit" w:eastAsia="Times New Roman" w:hAnsi="inherit" w:cs="Helvetica"/>
          <w:color w:val="333333"/>
          <w:sz w:val="27"/>
          <w:szCs w:val="27"/>
        </w:rPr>
        <w:t xml:space="preserve"> pod oznakom AOP 4062 iskazuje se neto promena stanja na grupi računa 35 – Gubitak, u tekućem izveštajnom periodu po svim osnovama, izuzev promene u početnom stanju po osnovu ispravke materijalno značajnih grešaka i promene računovodstvenih politika.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8.</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4071 popunjavaju se podaci samo u konsolidovanom izveštaju o promenama na kapitalu.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8.</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4080 iskazuje se ukupna neto promena stanja kapitala u tekućem izveštajnom periodu po svim osnovama, izuzev promene u početnom stanju po osnovu ispravke materijalno značajnih grešaka i promene računovodstvenih politika.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8.</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4089 iskazuje se ukupna promena stanja gubitka iznad visine kapitala u tekućem izveštajnom periodu po svim osnovama, izuzev promene u početnom stanju po osnovu ispravke materijalno značajnih grešaka i promene računovodstvenih politika.</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29.</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9.</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4009 iskazuje se stanje na računima osnovnog kapitala (grupa računa 30 – Osnovni kapital bez računa 306 – Emisiona premija i računa 309 – Ostali osnovni kapital) na datum bilansa tekućeg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9.</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4018 iskazuje se stanje na računu 309 – Ostali kapital na datum bilansa tekućeg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9.</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4027 iskazuje se stanje na grupi računa 31 – Upisani a neuplaćeni kapital na datum bilansa tekućeg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9.</w:t>
      </w:r>
      <w:proofErr w:type="gramEnd"/>
      <w:r w:rsidRPr="00BE39F9">
        <w:rPr>
          <w:rFonts w:ascii="inherit" w:eastAsia="Times New Roman" w:hAnsi="inherit" w:cs="Helvetica"/>
          <w:color w:val="333333"/>
          <w:sz w:val="27"/>
          <w:szCs w:val="27"/>
        </w:rPr>
        <w:t xml:space="preserve"> pod oznakom AOP 4036 iskazuje se stanje na računima 306 – Emisiona premija, 321 – Zakonske rezerve, 322 – Statutarne i druge rezerve i 323 – Dodatne uplate kojima se ne povećava kapital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9.</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4045 iskazuje se stanje na grupi računa 33 – Revalorizacione rezerve i nerealizovani dobici i gubici na datum bilansa tekućeg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9.</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4054 iskazuje se stanje na grupi računa 34 – Neraspoređeni dobitak na datum bilansa tekućeg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9.</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4063 iskazuje se stanje na grupi računa 35 – Gubitak, na datum bilansa tekućeg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9.</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4072 popunjavaju se podaci samo u konsolidovanom izveštaju o promenama na kapitalu.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9.</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4081 iskazuje se ukupno stanje kapitala na datum bilansa tekućeg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9.</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4090 iskazuje se ukupno stanje gubitka iznad visine kapitala na datum bilansa tekućeg izveštajnog perioda.</w:t>
      </w:r>
    </w:p>
    <w:p w:rsidR="00BE39F9" w:rsidRPr="00BE39F9" w:rsidRDefault="00BE39F9" w:rsidP="00BE39F9">
      <w:pPr>
        <w:shd w:val="clear" w:color="auto" w:fill="FFFFFF"/>
        <w:spacing w:after="0" w:line="240" w:lineRule="auto"/>
        <w:textAlignment w:val="baseline"/>
        <w:outlineLvl w:val="2"/>
        <w:rPr>
          <w:rFonts w:ascii="Helvetica" w:eastAsia="Times New Roman" w:hAnsi="Helvetica" w:cs="Helvetica"/>
          <w:b/>
          <w:bCs/>
          <w:color w:val="D23232"/>
          <w:sz w:val="36"/>
          <w:szCs w:val="36"/>
        </w:rPr>
      </w:pPr>
      <w:r w:rsidRPr="00BE39F9">
        <w:rPr>
          <w:rFonts w:ascii="inherit" w:eastAsia="Times New Roman" w:hAnsi="inherit" w:cs="Helvetica"/>
          <w:b/>
          <w:bCs/>
          <w:color w:val="D23232"/>
          <w:sz w:val="36"/>
          <w:szCs w:val="36"/>
          <w:bdr w:val="none" w:sz="0" w:space="0" w:color="auto" w:frame="1"/>
        </w:rPr>
        <w:t>VI. NAPOMENE UZ FINANSIJSKE IZVEŠTAJE</w:t>
      </w:r>
    </w:p>
    <w:p w:rsidR="00BE39F9" w:rsidRPr="00BE39F9" w:rsidRDefault="00BE39F9" w:rsidP="00BE39F9">
      <w:pPr>
        <w:shd w:val="clear" w:color="auto" w:fill="FFFFFF"/>
        <w:spacing w:after="0" w:line="240" w:lineRule="auto"/>
        <w:textAlignment w:val="baseline"/>
        <w:outlineLvl w:val="3"/>
        <w:rPr>
          <w:rFonts w:ascii="Helvetica" w:eastAsia="Times New Roman" w:hAnsi="Helvetica" w:cs="Helvetica"/>
          <w:b/>
          <w:bCs/>
          <w:color w:val="D23232"/>
          <w:sz w:val="33"/>
          <w:szCs w:val="33"/>
        </w:rPr>
      </w:pPr>
      <w:r w:rsidRPr="00BE39F9">
        <w:rPr>
          <w:rFonts w:ascii="inherit" w:eastAsia="Times New Roman" w:hAnsi="inherit" w:cs="Helvetica"/>
          <w:b/>
          <w:bCs/>
          <w:color w:val="D23232"/>
          <w:sz w:val="33"/>
          <w:szCs w:val="33"/>
          <w:bdr w:val="none" w:sz="0" w:space="0" w:color="auto" w:frame="1"/>
        </w:rPr>
        <w:t>1. Opšte informacije</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30.</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Napomene uz finansijske izveštaje sadrže opise i/ili detaljnije raščlanjavanje iznosa prikazanih u obrascima Bilansa stanja, Bilansa uspeha, Izveštaja o ostalom rezultatu, Izveštaja o tokovima gotovine i Izveštaja o promenama na kapitalu i dodatne informacije koje nisu prikazane u navedenim finansijskim izveštajima, a zahtevaju se u skladu sa: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1) MSFI;</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2) MSFI za MSP;</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3) </w:t>
      </w:r>
      <w:proofErr w:type="gramStart"/>
      <w:r w:rsidRPr="00BE39F9">
        <w:rPr>
          <w:rFonts w:ascii="inherit" w:eastAsia="Times New Roman" w:hAnsi="inherit" w:cs="Helvetica"/>
          <w:color w:val="333333"/>
          <w:sz w:val="27"/>
          <w:szCs w:val="27"/>
        </w:rPr>
        <w:t>podzakonskim</w:t>
      </w:r>
      <w:proofErr w:type="gramEnd"/>
      <w:r w:rsidRPr="00BE39F9">
        <w:rPr>
          <w:rFonts w:ascii="inherit" w:eastAsia="Times New Roman" w:hAnsi="inherit" w:cs="Helvetica"/>
          <w:color w:val="333333"/>
          <w:sz w:val="27"/>
          <w:szCs w:val="27"/>
        </w:rPr>
        <w:t xml:space="preserve"> aktom kojim se reguliše način priznavanja, vrednovanja, prezentacije i obelodanjivanja pozicija u finansijskim izveštajima mikro i drugih pravnih lica; ili</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4) </w:t>
      </w:r>
      <w:proofErr w:type="gramStart"/>
      <w:r w:rsidRPr="00BE39F9">
        <w:rPr>
          <w:rFonts w:ascii="inherit" w:eastAsia="Times New Roman" w:hAnsi="inherit" w:cs="Helvetica"/>
          <w:color w:val="333333"/>
          <w:sz w:val="27"/>
          <w:szCs w:val="27"/>
        </w:rPr>
        <w:t>ovim</w:t>
      </w:r>
      <w:proofErr w:type="gramEnd"/>
      <w:r w:rsidRPr="00BE39F9">
        <w:rPr>
          <w:rFonts w:ascii="inherit" w:eastAsia="Times New Roman" w:hAnsi="inherit" w:cs="Helvetica"/>
          <w:color w:val="333333"/>
          <w:sz w:val="27"/>
          <w:szCs w:val="27"/>
        </w:rPr>
        <w:t xml:space="preserve"> pravilnikom.</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Ukoliko se neka informacija u Napomenama uz finansijske izveštaje obelodanjuje kao rezultat zahteva ovog pravilnika, a isti takav zahtev postoji i u MSFI, odnosno MSFI za MSP, odnosno u podzakonskom aktu kojim se reguliše način priznavanja, vrednovanja, prezentacije i obelodanjivanja pozicija u finansijskim izveštajima mikro i drugih pravnih lica, pravno lice, odnosno preduzetnik ne iskazuje ponovo takvu informaciju, odnosno informacija se obelodanjuje samo jednom.</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Obelodanjivanja u Napomenama uz finansijske izveštaje se numerišu i u obrascima iz stava 1.</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ovog</w:t>
      </w:r>
      <w:proofErr w:type="gramEnd"/>
      <w:r w:rsidRPr="00BE39F9">
        <w:rPr>
          <w:rFonts w:ascii="inherit" w:eastAsia="Times New Roman" w:hAnsi="inherit" w:cs="Helvetica"/>
          <w:color w:val="333333"/>
          <w:sz w:val="27"/>
          <w:szCs w:val="27"/>
        </w:rPr>
        <w:t xml:space="preserve"> člana (Bilans stanja, Bilans uspeha i Izveštaj o ostalom rezultatu) se navodi redni broj pod kojim je informacija napisana u Napomenama uz finansijske izveštaje. </w:t>
      </w:r>
      <w:proofErr w:type="gramStart"/>
      <w:r w:rsidRPr="00BE39F9">
        <w:rPr>
          <w:rFonts w:ascii="inherit" w:eastAsia="Times New Roman" w:hAnsi="inherit" w:cs="Helvetica"/>
          <w:color w:val="333333"/>
          <w:sz w:val="27"/>
          <w:szCs w:val="27"/>
        </w:rPr>
        <w:t>Za prikazivanje rednog broja Napomena uz finansijske izveštaje koriste se arapski brojevi, prema redosledu prikazivanja podataka u finansijskom izveštaju, i to maksimalno 50 karaktera koji se unose u obrasce finansijskog izveštaja.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U Napomenama uz finansijske izveštaje svi obveznici primene ovog pravilnika, koji su u skladu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Zakonom obavezni da sastavljaju i dostavljaju Napomene uz finansijske izveštaje, obelodanjuju sledeće informacije: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 </w:t>
      </w:r>
      <w:proofErr w:type="gramStart"/>
      <w:r w:rsidRPr="00BE39F9">
        <w:rPr>
          <w:rFonts w:ascii="inherit" w:eastAsia="Times New Roman" w:hAnsi="inherit" w:cs="Helvetica"/>
          <w:color w:val="333333"/>
          <w:sz w:val="27"/>
          <w:szCs w:val="27"/>
        </w:rPr>
        <w:t>opšte</w:t>
      </w:r>
      <w:proofErr w:type="gramEnd"/>
      <w:r w:rsidRPr="00BE39F9">
        <w:rPr>
          <w:rFonts w:ascii="inherit" w:eastAsia="Times New Roman" w:hAnsi="inherit" w:cs="Helvetica"/>
          <w:color w:val="333333"/>
          <w:sz w:val="27"/>
          <w:szCs w:val="27"/>
        </w:rPr>
        <w:t xml:space="preserve"> informacije o pravnom licu, odnosno preduzetniku (sedište, pravna forma, opis prirode poslovanja i glavnih aktivnosti, naziv matičnog pravnog lica i krajnjeg vlasnika matičnog pravnog lica, podatak o prosečnom broju zaposlenih u toku izveštajnog perioda, na bazi stanja krajem svakog meseca);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2) </w:t>
      </w:r>
      <w:proofErr w:type="gramStart"/>
      <w:r w:rsidRPr="00BE39F9">
        <w:rPr>
          <w:rFonts w:ascii="inherit" w:eastAsia="Times New Roman" w:hAnsi="inherit" w:cs="Helvetica"/>
          <w:color w:val="333333"/>
          <w:sz w:val="27"/>
          <w:szCs w:val="27"/>
        </w:rPr>
        <w:t>informaciju</w:t>
      </w:r>
      <w:proofErr w:type="gramEnd"/>
      <w:r w:rsidRPr="00BE39F9">
        <w:rPr>
          <w:rFonts w:ascii="inherit" w:eastAsia="Times New Roman" w:hAnsi="inherit" w:cs="Helvetica"/>
          <w:color w:val="333333"/>
          <w:sz w:val="27"/>
          <w:szCs w:val="27"/>
        </w:rPr>
        <w:t xml:space="preserve"> o usaglašenosti sa nacionalnim propisima i MSFI, osnosno MSFI za MSP;</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3) </w:t>
      </w:r>
      <w:proofErr w:type="gramStart"/>
      <w:r w:rsidRPr="00BE39F9">
        <w:rPr>
          <w:rFonts w:ascii="inherit" w:eastAsia="Times New Roman" w:hAnsi="inherit" w:cs="Helvetica"/>
          <w:color w:val="333333"/>
          <w:sz w:val="27"/>
          <w:szCs w:val="27"/>
        </w:rPr>
        <w:t>informaciju</w:t>
      </w:r>
      <w:proofErr w:type="gramEnd"/>
      <w:r w:rsidRPr="00BE39F9">
        <w:rPr>
          <w:rFonts w:ascii="inherit" w:eastAsia="Times New Roman" w:hAnsi="inherit" w:cs="Helvetica"/>
          <w:color w:val="333333"/>
          <w:sz w:val="27"/>
          <w:szCs w:val="27"/>
        </w:rPr>
        <w:t xml:space="preserve"> o korekciji početnog stanja po osnovu greške i promena računovodstvenih politika;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4) </w:t>
      </w:r>
      <w:proofErr w:type="gramStart"/>
      <w:r w:rsidRPr="00BE39F9">
        <w:rPr>
          <w:rFonts w:ascii="inherit" w:eastAsia="Times New Roman" w:hAnsi="inherit" w:cs="Helvetica"/>
          <w:color w:val="333333"/>
          <w:sz w:val="27"/>
          <w:szCs w:val="27"/>
        </w:rPr>
        <w:t>informaciju</w:t>
      </w:r>
      <w:proofErr w:type="gramEnd"/>
      <w:r w:rsidRPr="00BE39F9">
        <w:rPr>
          <w:rFonts w:ascii="inherit" w:eastAsia="Times New Roman" w:hAnsi="inherit" w:cs="Helvetica"/>
          <w:color w:val="333333"/>
          <w:sz w:val="27"/>
          <w:szCs w:val="27"/>
        </w:rPr>
        <w:t xml:space="preserve"> o primenjenim osnovama za vrednovanje pozicija prilikom izrade finansijskog izveštaja;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5) </w:t>
      </w:r>
      <w:proofErr w:type="gramStart"/>
      <w:r w:rsidRPr="00BE39F9">
        <w:rPr>
          <w:rFonts w:ascii="inherit" w:eastAsia="Times New Roman" w:hAnsi="inherit" w:cs="Helvetica"/>
          <w:color w:val="333333"/>
          <w:sz w:val="27"/>
          <w:szCs w:val="27"/>
        </w:rPr>
        <w:t>informaciju</w:t>
      </w:r>
      <w:proofErr w:type="gramEnd"/>
      <w:r w:rsidRPr="00BE39F9">
        <w:rPr>
          <w:rFonts w:ascii="inherit" w:eastAsia="Times New Roman" w:hAnsi="inherit" w:cs="Helvetica"/>
          <w:color w:val="333333"/>
          <w:sz w:val="27"/>
          <w:szCs w:val="27"/>
        </w:rPr>
        <w:t xml:space="preserve"> o računovodstvenim politikama, koje su odabrane i primenjene na značajne poslovne promene i događaje;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6) </w:t>
      </w:r>
      <w:proofErr w:type="gramStart"/>
      <w:r w:rsidRPr="00BE39F9">
        <w:rPr>
          <w:rFonts w:ascii="inherit" w:eastAsia="Times New Roman" w:hAnsi="inherit" w:cs="Helvetica"/>
          <w:color w:val="333333"/>
          <w:sz w:val="27"/>
          <w:szCs w:val="27"/>
        </w:rPr>
        <w:t>za</w:t>
      </w:r>
      <w:proofErr w:type="gramEnd"/>
      <w:r w:rsidRPr="00BE39F9">
        <w:rPr>
          <w:rFonts w:ascii="inherit" w:eastAsia="Times New Roman" w:hAnsi="inherit" w:cs="Helvetica"/>
          <w:color w:val="333333"/>
          <w:sz w:val="27"/>
          <w:szCs w:val="27"/>
        </w:rPr>
        <w:t xml:space="preserve"> nekretnine, postrojenja, opremu i biološka sredstva vrednovana primenom modela revalorizacije, odnosno modela fer vrednosti:</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 </w:t>
      </w:r>
      <w:proofErr w:type="gramStart"/>
      <w:r w:rsidRPr="00BE39F9">
        <w:rPr>
          <w:rFonts w:ascii="inherit" w:eastAsia="Times New Roman" w:hAnsi="inherit" w:cs="Helvetica"/>
          <w:color w:val="333333"/>
          <w:sz w:val="27"/>
          <w:szCs w:val="27"/>
        </w:rPr>
        <w:t>promene</w:t>
      </w:r>
      <w:proofErr w:type="gramEnd"/>
      <w:r w:rsidRPr="00BE39F9">
        <w:rPr>
          <w:rFonts w:ascii="inherit" w:eastAsia="Times New Roman" w:hAnsi="inherit" w:cs="Helvetica"/>
          <w:color w:val="333333"/>
          <w:sz w:val="27"/>
          <w:szCs w:val="27"/>
        </w:rPr>
        <w:t xml:space="preserve"> revalorizacione rezerve u izveštajnom periodu, uz objašnjenje poreskog tretmana sadržanih stavki;</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(2) </w:t>
      </w:r>
      <w:proofErr w:type="gramStart"/>
      <w:r w:rsidRPr="00BE39F9">
        <w:rPr>
          <w:rFonts w:ascii="inherit" w:eastAsia="Times New Roman" w:hAnsi="inherit" w:cs="Helvetica"/>
          <w:color w:val="333333"/>
          <w:sz w:val="27"/>
          <w:szCs w:val="27"/>
        </w:rPr>
        <w:t>knjigovodstvenu</w:t>
      </w:r>
      <w:proofErr w:type="gramEnd"/>
      <w:r w:rsidRPr="00BE39F9">
        <w:rPr>
          <w:rFonts w:ascii="inherit" w:eastAsia="Times New Roman" w:hAnsi="inherit" w:cs="Helvetica"/>
          <w:color w:val="333333"/>
          <w:sz w:val="27"/>
          <w:szCs w:val="27"/>
        </w:rPr>
        <w:t xml:space="preserve"> vrednost u Bilansu stanja koja bi se priznala da osnovna sredstva nisu bila revalorizovana;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7) </w:t>
      </w:r>
      <w:proofErr w:type="gramStart"/>
      <w:r w:rsidRPr="00BE39F9">
        <w:rPr>
          <w:rFonts w:ascii="inherit" w:eastAsia="Times New Roman" w:hAnsi="inherit" w:cs="Helvetica"/>
          <w:color w:val="333333"/>
          <w:sz w:val="27"/>
          <w:szCs w:val="27"/>
        </w:rPr>
        <w:t>za</w:t>
      </w:r>
      <w:proofErr w:type="gramEnd"/>
      <w:r w:rsidRPr="00BE39F9">
        <w:rPr>
          <w:rFonts w:ascii="inherit" w:eastAsia="Times New Roman" w:hAnsi="inherit" w:cs="Helvetica"/>
          <w:color w:val="333333"/>
          <w:sz w:val="27"/>
          <w:szCs w:val="27"/>
        </w:rPr>
        <w:t xml:space="preserve"> finansijske instrumente i ostalu imovinu koji se naknadno vrednuju po fer vrednosti:</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 </w:t>
      </w:r>
      <w:proofErr w:type="gramStart"/>
      <w:r w:rsidRPr="00BE39F9">
        <w:rPr>
          <w:rFonts w:ascii="inherit" w:eastAsia="Times New Roman" w:hAnsi="inherit" w:cs="Helvetica"/>
          <w:color w:val="333333"/>
          <w:sz w:val="27"/>
          <w:szCs w:val="27"/>
        </w:rPr>
        <w:t>značajne</w:t>
      </w:r>
      <w:proofErr w:type="gramEnd"/>
      <w:r w:rsidRPr="00BE39F9">
        <w:rPr>
          <w:rFonts w:ascii="inherit" w:eastAsia="Times New Roman" w:hAnsi="inherit" w:cs="Helvetica"/>
          <w:color w:val="333333"/>
          <w:sz w:val="27"/>
          <w:szCs w:val="27"/>
        </w:rPr>
        <w:t xml:space="preserve"> pretpostavke koje su služile kao osnova za načine i tehnike vrednovanja u slučaju kada su fer vrednosti određene nekom od dozvoljenih metoda procene;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(2) </w:t>
      </w:r>
      <w:proofErr w:type="gramStart"/>
      <w:r w:rsidRPr="00BE39F9">
        <w:rPr>
          <w:rFonts w:ascii="inherit" w:eastAsia="Times New Roman" w:hAnsi="inherit" w:cs="Helvetica"/>
          <w:color w:val="333333"/>
          <w:sz w:val="27"/>
          <w:szCs w:val="27"/>
        </w:rPr>
        <w:t>za</w:t>
      </w:r>
      <w:proofErr w:type="gramEnd"/>
      <w:r w:rsidRPr="00BE39F9">
        <w:rPr>
          <w:rFonts w:ascii="inherit" w:eastAsia="Times New Roman" w:hAnsi="inherit" w:cs="Helvetica"/>
          <w:color w:val="333333"/>
          <w:sz w:val="27"/>
          <w:szCs w:val="27"/>
        </w:rPr>
        <w:t xml:space="preserve"> svaku kategoriju finansijskih instrumenata ili imovine koja nije finansijski instrument, fer vrednost, promene vrednosti koje su direktno uključene u Bilans uspeha, kao i promene uključene u nerealizovane dobitke ili gubitke u okviru kapitala;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(3) </w:t>
      </w:r>
      <w:proofErr w:type="gramStart"/>
      <w:r w:rsidRPr="00BE39F9">
        <w:rPr>
          <w:rFonts w:ascii="inherit" w:eastAsia="Times New Roman" w:hAnsi="inherit" w:cs="Helvetica"/>
          <w:color w:val="333333"/>
          <w:sz w:val="27"/>
          <w:szCs w:val="27"/>
        </w:rPr>
        <w:t>za</w:t>
      </w:r>
      <w:proofErr w:type="gramEnd"/>
      <w:r w:rsidRPr="00BE39F9">
        <w:rPr>
          <w:rFonts w:ascii="inherit" w:eastAsia="Times New Roman" w:hAnsi="inherit" w:cs="Helvetica"/>
          <w:color w:val="333333"/>
          <w:sz w:val="27"/>
          <w:szCs w:val="27"/>
        </w:rPr>
        <w:t xml:space="preserve"> svaku kategoriju derivatnih finansijskih instrumenata podatak o visini i prirodi instrumenata, uključujući značajne rokove i uslove koji mogu uticati na iznos, vreme i sigurnost budućih novčanih tokova;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(4) </w:t>
      </w:r>
      <w:proofErr w:type="gramStart"/>
      <w:r w:rsidRPr="00BE39F9">
        <w:rPr>
          <w:rFonts w:ascii="inherit" w:eastAsia="Times New Roman" w:hAnsi="inherit" w:cs="Helvetica"/>
          <w:color w:val="333333"/>
          <w:sz w:val="27"/>
          <w:szCs w:val="27"/>
        </w:rPr>
        <w:t>tabelu</w:t>
      </w:r>
      <w:proofErr w:type="gramEnd"/>
      <w:r w:rsidRPr="00BE39F9">
        <w:rPr>
          <w:rFonts w:ascii="inherit" w:eastAsia="Times New Roman" w:hAnsi="inherit" w:cs="Helvetica"/>
          <w:color w:val="333333"/>
          <w:sz w:val="27"/>
          <w:szCs w:val="27"/>
        </w:rPr>
        <w:t xml:space="preserve"> koja prikazuje kretanja revalorizacionih rezervi i nerealizovanih dobitaka i gubitaka tokom izveštajnog perioda, odnosno stanje na početku i na kraju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8) </w:t>
      </w:r>
      <w:proofErr w:type="gramStart"/>
      <w:r w:rsidRPr="00BE39F9">
        <w:rPr>
          <w:rFonts w:ascii="inherit" w:eastAsia="Times New Roman" w:hAnsi="inherit" w:cs="Helvetica"/>
          <w:color w:val="333333"/>
          <w:sz w:val="27"/>
          <w:szCs w:val="27"/>
        </w:rPr>
        <w:t>informacije</w:t>
      </w:r>
      <w:proofErr w:type="gramEnd"/>
      <w:r w:rsidRPr="00BE39F9">
        <w:rPr>
          <w:rFonts w:ascii="inherit" w:eastAsia="Times New Roman" w:hAnsi="inherit" w:cs="Helvetica"/>
          <w:color w:val="333333"/>
          <w:sz w:val="27"/>
          <w:szCs w:val="27"/>
        </w:rPr>
        <w:t xml:space="preserve"> o stavkama koje nisu prikazane u izveštajima iz stava 1. ovog člana, a značajne su za ocenu finansijskog položaja i uspešnosti poslovanja pravnog lica, odnosno preduzetnika uključujući i ukupan iznos svih finansijskih obaveza, garancija ili nepredviđenih izdataka koji nisu uključeni u Bilans stanja, kao i naznaku prirode i oblika svih datih materijalno značajnih garancija (obaveze koje se odnose na penzije i povezana pravna lica ili pravna lica povezana udelom obelodanjuju se odvojeno od drugih obaveza iste prirode);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9) </w:t>
      </w:r>
      <w:proofErr w:type="gramStart"/>
      <w:r w:rsidRPr="00BE39F9">
        <w:rPr>
          <w:rFonts w:ascii="inherit" w:eastAsia="Times New Roman" w:hAnsi="inherit" w:cs="Helvetica"/>
          <w:color w:val="333333"/>
          <w:sz w:val="27"/>
          <w:szCs w:val="27"/>
        </w:rPr>
        <w:t>iznos</w:t>
      </w:r>
      <w:proofErr w:type="gramEnd"/>
      <w:r w:rsidRPr="00BE39F9">
        <w:rPr>
          <w:rFonts w:ascii="inherit" w:eastAsia="Times New Roman" w:hAnsi="inherit" w:cs="Helvetica"/>
          <w:color w:val="333333"/>
          <w:sz w:val="27"/>
          <w:szCs w:val="27"/>
        </w:rPr>
        <w:t xml:space="preserve"> zajmova datih zaposlenima, članovima organa upravljanja i nadzora, sa naznakama kamatnih stopa, i uslova, i svih otplaćenih i otpisanih iznosa, kao i obaveza prema zaposlenima utvrđenih internim aktom u njihovu korist, naznakom ukupnog iznosa za svaku kategoriju obaveza;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10) </w:t>
      </w:r>
      <w:proofErr w:type="gramStart"/>
      <w:r w:rsidRPr="00BE39F9">
        <w:rPr>
          <w:rFonts w:ascii="inherit" w:eastAsia="Times New Roman" w:hAnsi="inherit" w:cs="Helvetica"/>
          <w:color w:val="333333"/>
          <w:sz w:val="27"/>
          <w:szCs w:val="27"/>
        </w:rPr>
        <w:t>iznos</w:t>
      </w:r>
      <w:proofErr w:type="gramEnd"/>
      <w:r w:rsidRPr="00BE39F9">
        <w:rPr>
          <w:rFonts w:ascii="inherit" w:eastAsia="Times New Roman" w:hAnsi="inherit" w:cs="Helvetica"/>
          <w:color w:val="333333"/>
          <w:sz w:val="27"/>
          <w:szCs w:val="27"/>
        </w:rPr>
        <w:t xml:space="preserve"> i prirodu pojedinih stavki prihoda ili rashoda koji su po svom iznosu i prirodi materijalno značajni sa odvojenim iskazivanjem tih stavki ostvarenih iz odnosa sa povezanim licima;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11) </w:t>
      </w:r>
      <w:proofErr w:type="gramStart"/>
      <w:r w:rsidRPr="00BE39F9">
        <w:rPr>
          <w:rFonts w:ascii="inherit" w:eastAsia="Times New Roman" w:hAnsi="inherit" w:cs="Helvetica"/>
          <w:color w:val="333333"/>
          <w:sz w:val="27"/>
          <w:szCs w:val="27"/>
        </w:rPr>
        <w:t>iznose</w:t>
      </w:r>
      <w:proofErr w:type="gramEnd"/>
      <w:r w:rsidRPr="00BE39F9">
        <w:rPr>
          <w:rFonts w:ascii="inherit" w:eastAsia="Times New Roman" w:hAnsi="inherit" w:cs="Helvetica"/>
          <w:color w:val="333333"/>
          <w:sz w:val="27"/>
          <w:szCs w:val="27"/>
        </w:rPr>
        <w:t xml:space="preserve"> obaveza koje dospevaju nakon više od pet godina, kao i ukupna dugovanja u vezi sa garancijama (zalogama, hipotekama) koje je pravno lice, odnosno preduzetnik dalo uz naznaku prirode i oblika garancija.</w:t>
      </w:r>
    </w:p>
    <w:p w:rsidR="00BE39F9" w:rsidRPr="00BE39F9" w:rsidRDefault="00BE39F9" w:rsidP="00BE39F9">
      <w:pPr>
        <w:shd w:val="clear" w:color="auto" w:fill="FFFFFF"/>
        <w:spacing w:after="0" w:line="240" w:lineRule="auto"/>
        <w:textAlignment w:val="baseline"/>
        <w:outlineLvl w:val="3"/>
        <w:rPr>
          <w:rFonts w:ascii="Helvetica" w:eastAsia="Times New Roman" w:hAnsi="Helvetica" w:cs="Helvetica"/>
          <w:b/>
          <w:bCs/>
          <w:color w:val="D23232"/>
          <w:sz w:val="33"/>
          <w:szCs w:val="33"/>
        </w:rPr>
      </w:pPr>
      <w:r w:rsidRPr="00BE39F9">
        <w:rPr>
          <w:rFonts w:ascii="inherit" w:eastAsia="Times New Roman" w:hAnsi="inherit" w:cs="Helvetica"/>
          <w:b/>
          <w:bCs/>
          <w:color w:val="D23232"/>
          <w:sz w:val="33"/>
          <w:szCs w:val="33"/>
          <w:bdr w:val="none" w:sz="0" w:space="0" w:color="auto" w:frame="1"/>
        </w:rPr>
        <w:t xml:space="preserve">2. Dodatna obelodanjivanja za srednja pravna lica i društva </w:t>
      </w:r>
      <w:proofErr w:type="gramStart"/>
      <w:r w:rsidRPr="00BE39F9">
        <w:rPr>
          <w:rFonts w:ascii="inherit" w:eastAsia="Times New Roman" w:hAnsi="inherit" w:cs="Helvetica"/>
          <w:b/>
          <w:bCs/>
          <w:color w:val="D23232"/>
          <w:sz w:val="33"/>
          <w:szCs w:val="33"/>
          <w:bdr w:val="none" w:sz="0" w:space="0" w:color="auto" w:frame="1"/>
        </w:rPr>
        <w:t>od</w:t>
      </w:r>
      <w:proofErr w:type="gramEnd"/>
      <w:r w:rsidRPr="00BE39F9">
        <w:rPr>
          <w:rFonts w:ascii="inherit" w:eastAsia="Times New Roman" w:hAnsi="inherit" w:cs="Helvetica"/>
          <w:b/>
          <w:bCs/>
          <w:color w:val="D23232"/>
          <w:sz w:val="33"/>
          <w:szCs w:val="33"/>
          <w:bdr w:val="none" w:sz="0" w:space="0" w:color="auto" w:frame="1"/>
        </w:rPr>
        <w:t xml:space="preserve"> javnog interesa</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31.</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Srednja pravna lica, kao i preduzetnici koji su razvrstani u srednja kao i sva društva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javnog interesa u Napomenama uz finansijske izveštaje, osim informacija koje se zahtevaju odredbama člana 30. </w:t>
      </w:r>
      <w:proofErr w:type="gramStart"/>
      <w:r w:rsidRPr="00BE39F9">
        <w:rPr>
          <w:rFonts w:ascii="inherit" w:eastAsia="Times New Roman" w:hAnsi="inherit" w:cs="Helvetica"/>
          <w:color w:val="333333"/>
          <w:sz w:val="27"/>
          <w:szCs w:val="27"/>
        </w:rPr>
        <w:t>stav</w:t>
      </w:r>
      <w:proofErr w:type="gramEnd"/>
      <w:r w:rsidRPr="00BE39F9">
        <w:rPr>
          <w:rFonts w:ascii="inherit" w:eastAsia="Times New Roman" w:hAnsi="inherit" w:cs="Helvetica"/>
          <w:color w:val="333333"/>
          <w:sz w:val="27"/>
          <w:szCs w:val="27"/>
        </w:rPr>
        <w:t xml:space="preserve"> 4. </w:t>
      </w:r>
      <w:proofErr w:type="gramStart"/>
      <w:r w:rsidRPr="00BE39F9">
        <w:rPr>
          <w:rFonts w:ascii="inherit" w:eastAsia="Times New Roman" w:hAnsi="inherit" w:cs="Helvetica"/>
          <w:color w:val="333333"/>
          <w:sz w:val="27"/>
          <w:szCs w:val="27"/>
        </w:rPr>
        <w:t>ovog</w:t>
      </w:r>
      <w:proofErr w:type="gramEnd"/>
      <w:r w:rsidRPr="00BE39F9">
        <w:rPr>
          <w:rFonts w:ascii="inherit" w:eastAsia="Times New Roman" w:hAnsi="inherit" w:cs="Helvetica"/>
          <w:color w:val="333333"/>
          <w:sz w:val="27"/>
          <w:szCs w:val="27"/>
        </w:rPr>
        <w:t xml:space="preserve"> pravilnika, obelodanjuju i sledeće informacije: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 </w:t>
      </w:r>
      <w:proofErr w:type="gramStart"/>
      <w:r w:rsidRPr="00BE39F9">
        <w:rPr>
          <w:rFonts w:ascii="inherit" w:eastAsia="Times New Roman" w:hAnsi="inherit" w:cs="Helvetica"/>
          <w:color w:val="333333"/>
          <w:sz w:val="27"/>
          <w:szCs w:val="27"/>
        </w:rPr>
        <w:t>za</w:t>
      </w:r>
      <w:proofErr w:type="gramEnd"/>
      <w:r w:rsidRPr="00BE39F9">
        <w:rPr>
          <w:rFonts w:ascii="inherit" w:eastAsia="Times New Roman" w:hAnsi="inherit" w:cs="Helvetica"/>
          <w:color w:val="333333"/>
          <w:sz w:val="27"/>
          <w:szCs w:val="27"/>
        </w:rPr>
        <w:t xml:space="preserve"> različite stavke stalne imovine: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 </w:t>
      </w:r>
      <w:proofErr w:type="gramStart"/>
      <w:r w:rsidRPr="00BE39F9">
        <w:rPr>
          <w:rFonts w:ascii="inherit" w:eastAsia="Times New Roman" w:hAnsi="inherit" w:cs="Helvetica"/>
          <w:color w:val="333333"/>
          <w:sz w:val="27"/>
          <w:szCs w:val="27"/>
        </w:rPr>
        <w:t>nabavnu</w:t>
      </w:r>
      <w:proofErr w:type="gramEnd"/>
      <w:r w:rsidRPr="00BE39F9">
        <w:rPr>
          <w:rFonts w:ascii="inherit" w:eastAsia="Times New Roman" w:hAnsi="inherit" w:cs="Helvetica"/>
          <w:color w:val="333333"/>
          <w:sz w:val="27"/>
          <w:szCs w:val="27"/>
        </w:rPr>
        <w:t xml:space="preserve"> cenu ili trošak proizvodnje ili, ako se koristi alternativna osnova odmeravanja, fer vrednost ili revalorizovani iznos na početku i na kraju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(2) </w:t>
      </w:r>
      <w:proofErr w:type="gramStart"/>
      <w:r w:rsidRPr="00BE39F9">
        <w:rPr>
          <w:rFonts w:ascii="inherit" w:eastAsia="Times New Roman" w:hAnsi="inherit" w:cs="Helvetica"/>
          <w:color w:val="333333"/>
          <w:sz w:val="27"/>
          <w:szCs w:val="27"/>
        </w:rPr>
        <w:t>nabavke</w:t>
      </w:r>
      <w:proofErr w:type="gramEnd"/>
      <w:r w:rsidRPr="00BE39F9">
        <w:rPr>
          <w:rFonts w:ascii="inherit" w:eastAsia="Times New Roman" w:hAnsi="inherit" w:cs="Helvetica"/>
          <w:color w:val="333333"/>
          <w:sz w:val="27"/>
          <w:szCs w:val="27"/>
        </w:rPr>
        <w:t>, kretanja i prenosi (iz jedne kategorije u drugu kategoriju imovine) tokom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(3) </w:t>
      </w:r>
      <w:proofErr w:type="gramStart"/>
      <w:r w:rsidRPr="00BE39F9">
        <w:rPr>
          <w:rFonts w:ascii="inherit" w:eastAsia="Times New Roman" w:hAnsi="inherit" w:cs="Helvetica"/>
          <w:color w:val="333333"/>
          <w:sz w:val="27"/>
          <w:szCs w:val="27"/>
        </w:rPr>
        <w:t>ispravke</w:t>
      </w:r>
      <w:proofErr w:type="gramEnd"/>
      <w:r w:rsidRPr="00BE39F9">
        <w:rPr>
          <w:rFonts w:ascii="inherit" w:eastAsia="Times New Roman" w:hAnsi="inherit" w:cs="Helvetica"/>
          <w:color w:val="333333"/>
          <w:sz w:val="27"/>
          <w:szCs w:val="27"/>
        </w:rPr>
        <w:t xml:space="preserve"> vrednosti na početku i na kraju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(4) </w:t>
      </w:r>
      <w:proofErr w:type="gramStart"/>
      <w:r w:rsidRPr="00BE39F9">
        <w:rPr>
          <w:rFonts w:ascii="inherit" w:eastAsia="Times New Roman" w:hAnsi="inherit" w:cs="Helvetica"/>
          <w:color w:val="333333"/>
          <w:sz w:val="27"/>
          <w:szCs w:val="27"/>
        </w:rPr>
        <w:t>korekcije</w:t>
      </w:r>
      <w:proofErr w:type="gramEnd"/>
      <w:r w:rsidRPr="00BE39F9">
        <w:rPr>
          <w:rFonts w:ascii="inherit" w:eastAsia="Times New Roman" w:hAnsi="inherit" w:cs="Helvetica"/>
          <w:color w:val="333333"/>
          <w:sz w:val="27"/>
          <w:szCs w:val="27"/>
        </w:rPr>
        <w:t xml:space="preserve"> vrednosti tokom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(5) </w:t>
      </w:r>
      <w:proofErr w:type="gramStart"/>
      <w:r w:rsidRPr="00BE39F9">
        <w:rPr>
          <w:rFonts w:ascii="inherit" w:eastAsia="Times New Roman" w:hAnsi="inherit" w:cs="Helvetica"/>
          <w:color w:val="333333"/>
          <w:sz w:val="27"/>
          <w:szCs w:val="27"/>
        </w:rPr>
        <w:t>promene</w:t>
      </w:r>
      <w:proofErr w:type="gramEnd"/>
      <w:r w:rsidRPr="00BE39F9">
        <w:rPr>
          <w:rFonts w:ascii="inherit" w:eastAsia="Times New Roman" w:hAnsi="inherit" w:cs="Helvetica"/>
          <w:color w:val="333333"/>
          <w:sz w:val="27"/>
          <w:szCs w:val="27"/>
        </w:rPr>
        <w:t xml:space="preserve"> ispravki vrednosti stalne imovine tokom izveštajnog perioda po osnovu njene nabavke, prodaje i prenosa (iz jedne kategorije u drugu kategoriju imovine);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(6) </w:t>
      </w:r>
      <w:proofErr w:type="gramStart"/>
      <w:r w:rsidRPr="00BE39F9">
        <w:rPr>
          <w:rFonts w:ascii="inherit" w:eastAsia="Times New Roman" w:hAnsi="inherit" w:cs="Helvetica"/>
          <w:color w:val="333333"/>
          <w:sz w:val="27"/>
          <w:szCs w:val="27"/>
        </w:rPr>
        <w:t>u</w:t>
      </w:r>
      <w:proofErr w:type="gramEnd"/>
      <w:r w:rsidRPr="00BE39F9">
        <w:rPr>
          <w:rFonts w:ascii="inherit" w:eastAsia="Times New Roman" w:hAnsi="inherit" w:cs="Helvetica"/>
          <w:color w:val="333333"/>
          <w:sz w:val="27"/>
          <w:szCs w:val="27"/>
        </w:rPr>
        <w:t xml:space="preserve"> slučaju kada su troškovi pozajmljivanja kapitalizovani, iznos koji je kapitalizovan tokom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2) </w:t>
      </w:r>
      <w:proofErr w:type="gramStart"/>
      <w:r w:rsidRPr="00BE39F9">
        <w:rPr>
          <w:rFonts w:ascii="inherit" w:eastAsia="Times New Roman" w:hAnsi="inherit" w:cs="Helvetica"/>
          <w:color w:val="333333"/>
          <w:sz w:val="27"/>
          <w:szCs w:val="27"/>
        </w:rPr>
        <w:t>ako</w:t>
      </w:r>
      <w:proofErr w:type="gramEnd"/>
      <w:r w:rsidRPr="00BE39F9">
        <w:rPr>
          <w:rFonts w:ascii="inherit" w:eastAsia="Times New Roman" w:hAnsi="inherit" w:cs="Helvetica"/>
          <w:color w:val="333333"/>
          <w:sz w:val="27"/>
          <w:szCs w:val="27"/>
        </w:rPr>
        <w:t xml:space="preserve"> su nekretnine, postrojenja, oprema i biološka sredstva ili obrtna sredstva predmet ispravke vrednosti samo za potrebe oporezivanja, iznos ispravki kao i razlozi zbog kojih su izvršene;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3) </w:t>
      </w:r>
      <w:proofErr w:type="gramStart"/>
      <w:r w:rsidRPr="00BE39F9">
        <w:rPr>
          <w:rFonts w:ascii="inherit" w:eastAsia="Times New Roman" w:hAnsi="inherit" w:cs="Helvetica"/>
          <w:color w:val="333333"/>
          <w:sz w:val="27"/>
          <w:szCs w:val="27"/>
        </w:rPr>
        <w:t>ako</w:t>
      </w:r>
      <w:proofErr w:type="gramEnd"/>
      <w:r w:rsidRPr="00BE39F9">
        <w:rPr>
          <w:rFonts w:ascii="inherit" w:eastAsia="Times New Roman" w:hAnsi="inherit" w:cs="Helvetica"/>
          <w:color w:val="333333"/>
          <w:sz w:val="27"/>
          <w:szCs w:val="27"/>
        </w:rPr>
        <w:t xml:space="preserve"> se finansijski instrumenti odmeravaju po nabavnoj ceni ili u visini izdataka pribavljanja: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 </w:t>
      </w:r>
      <w:proofErr w:type="gramStart"/>
      <w:r w:rsidRPr="00BE39F9">
        <w:rPr>
          <w:rFonts w:ascii="inherit" w:eastAsia="Times New Roman" w:hAnsi="inherit" w:cs="Helvetica"/>
          <w:color w:val="333333"/>
          <w:sz w:val="27"/>
          <w:szCs w:val="27"/>
        </w:rPr>
        <w:t>za</w:t>
      </w:r>
      <w:proofErr w:type="gramEnd"/>
      <w:r w:rsidRPr="00BE39F9">
        <w:rPr>
          <w:rFonts w:ascii="inherit" w:eastAsia="Times New Roman" w:hAnsi="inherit" w:cs="Helvetica"/>
          <w:color w:val="333333"/>
          <w:sz w:val="27"/>
          <w:szCs w:val="27"/>
        </w:rPr>
        <w:t xml:space="preserve"> svaku kategoriju derivatnih finansijskih instrumenata: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fer</w:t>
      </w:r>
      <w:proofErr w:type="gramEnd"/>
      <w:r w:rsidRPr="00BE39F9">
        <w:rPr>
          <w:rFonts w:ascii="inherit" w:eastAsia="Times New Roman" w:hAnsi="inherit" w:cs="Helvetica"/>
          <w:color w:val="333333"/>
          <w:sz w:val="27"/>
          <w:szCs w:val="27"/>
        </w:rPr>
        <w:t xml:space="preserve"> vrednost instrumenata, ako se ista može odrediti bilo kojim od primenljivih metoda;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informacije</w:t>
      </w:r>
      <w:proofErr w:type="gramEnd"/>
      <w:r w:rsidRPr="00BE39F9">
        <w:rPr>
          <w:rFonts w:ascii="inherit" w:eastAsia="Times New Roman" w:hAnsi="inherit" w:cs="Helvetica"/>
          <w:color w:val="333333"/>
          <w:sz w:val="27"/>
          <w:szCs w:val="27"/>
        </w:rPr>
        <w:t xml:space="preserve"> o opsegu i prirodi instrumenata;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(2) </w:t>
      </w:r>
      <w:proofErr w:type="gramStart"/>
      <w:r w:rsidRPr="00BE39F9">
        <w:rPr>
          <w:rFonts w:ascii="inherit" w:eastAsia="Times New Roman" w:hAnsi="inherit" w:cs="Helvetica"/>
          <w:color w:val="333333"/>
          <w:sz w:val="27"/>
          <w:szCs w:val="27"/>
        </w:rPr>
        <w:t>za</w:t>
      </w:r>
      <w:proofErr w:type="gramEnd"/>
      <w:r w:rsidRPr="00BE39F9">
        <w:rPr>
          <w:rFonts w:ascii="inherit" w:eastAsia="Times New Roman" w:hAnsi="inherit" w:cs="Helvetica"/>
          <w:color w:val="333333"/>
          <w:sz w:val="27"/>
          <w:szCs w:val="27"/>
        </w:rPr>
        <w:t xml:space="preserve"> dugoročna finansijska sredstva koja se vrednuju po iznosu većem od njihove fer vrednosti:</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knjigovodstvenu</w:t>
      </w:r>
      <w:proofErr w:type="gramEnd"/>
      <w:r w:rsidRPr="00BE39F9">
        <w:rPr>
          <w:rFonts w:ascii="inherit" w:eastAsia="Times New Roman" w:hAnsi="inherit" w:cs="Helvetica"/>
          <w:color w:val="333333"/>
          <w:sz w:val="27"/>
          <w:szCs w:val="27"/>
        </w:rPr>
        <w:t xml:space="preserve"> vrednost i fer vrednost pojedinih finansijskih sredstava ili odgovarajuće grupe finansijskih sredstava;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razlozi</w:t>
      </w:r>
      <w:proofErr w:type="gramEnd"/>
      <w:r w:rsidRPr="00BE39F9">
        <w:rPr>
          <w:rFonts w:ascii="inherit" w:eastAsia="Times New Roman" w:hAnsi="inherit" w:cs="Helvetica"/>
          <w:color w:val="333333"/>
          <w:sz w:val="27"/>
          <w:szCs w:val="27"/>
        </w:rPr>
        <w:t xml:space="preserve"> zbog kojih nije vršeno umanjenje knjigovodstvene vrednosti finansijskih sredstava, uključujući prirodu dokaza na kojima se zasniva očekivanje naplate njihove knjigovodstvene vrednosti;</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4) </w:t>
      </w:r>
      <w:proofErr w:type="gramStart"/>
      <w:r w:rsidRPr="00BE39F9">
        <w:rPr>
          <w:rFonts w:ascii="inherit" w:eastAsia="Times New Roman" w:hAnsi="inherit" w:cs="Helvetica"/>
          <w:color w:val="333333"/>
          <w:sz w:val="27"/>
          <w:szCs w:val="27"/>
        </w:rPr>
        <w:t>iznos</w:t>
      </w:r>
      <w:proofErr w:type="gramEnd"/>
      <w:r w:rsidRPr="00BE39F9">
        <w:rPr>
          <w:rFonts w:ascii="inherit" w:eastAsia="Times New Roman" w:hAnsi="inherit" w:cs="Helvetica"/>
          <w:color w:val="333333"/>
          <w:sz w:val="27"/>
          <w:szCs w:val="27"/>
        </w:rPr>
        <w:t xml:space="preserve"> naknada odobrenih za tekući izveštajni period članovima organa upravljanja i nadzora povodom njihove odgovornosti i sve obaveze koje proističu ili koje su dogovorene u vezi sa penzijama za bivše članove tih tela, uz naznaku ukupnog iznosa za svako telo ponaosob. Pravno lice samostalno odlučuje da li </w:t>
      </w:r>
      <w:proofErr w:type="gramStart"/>
      <w:r w:rsidRPr="00BE39F9">
        <w:rPr>
          <w:rFonts w:ascii="inherit" w:eastAsia="Times New Roman" w:hAnsi="inherit" w:cs="Helvetica"/>
          <w:color w:val="333333"/>
          <w:sz w:val="27"/>
          <w:szCs w:val="27"/>
        </w:rPr>
        <w:t>će</w:t>
      </w:r>
      <w:proofErr w:type="gramEnd"/>
      <w:r w:rsidRPr="00BE39F9">
        <w:rPr>
          <w:rFonts w:ascii="inherit" w:eastAsia="Times New Roman" w:hAnsi="inherit" w:cs="Helvetica"/>
          <w:color w:val="333333"/>
          <w:sz w:val="27"/>
          <w:szCs w:val="27"/>
        </w:rPr>
        <w:t xml:space="preserve"> obelodaniti ove podatke (razlog za neobelodanjivanje može da bude procena da bi se takvim obelodanjivanjem stavilo javnosti na finansijsko stanje određenog člana takvog tela, a takva situacija bi npr. nastupila ako je samo jedno lice član nekog organa ili tela);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5) </w:t>
      </w:r>
      <w:proofErr w:type="gramStart"/>
      <w:r w:rsidRPr="00BE39F9">
        <w:rPr>
          <w:rFonts w:ascii="inherit" w:eastAsia="Times New Roman" w:hAnsi="inherit" w:cs="Helvetica"/>
          <w:color w:val="333333"/>
          <w:sz w:val="27"/>
          <w:szCs w:val="27"/>
        </w:rPr>
        <w:t>prosečan</w:t>
      </w:r>
      <w:proofErr w:type="gramEnd"/>
      <w:r w:rsidRPr="00BE39F9">
        <w:rPr>
          <w:rFonts w:ascii="inherit" w:eastAsia="Times New Roman" w:hAnsi="inherit" w:cs="Helvetica"/>
          <w:color w:val="333333"/>
          <w:sz w:val="27"/>
          <w:szCs w:val="27"/>
        </w:rPr>
        <w:t xml:space="preserve"> broj zaposlenih tokom izveštajnog perioda raščlanjen po kategorijama, i ako to nije posebno obelodanjeno u Bilansu uspeha, troškovi zarada i naknada zaposlenih koji se odnose na izveštajni period, raščlanjeni na zarade, naknade, poreze i troškove obaveznog socijalnog osiguranja;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6) </w:t>
      </w:r>
      <w:proofErr w:type="gramStart"/>
      <w:r w:rsidRPr="00BE39F9">
        <w:rPr>
          <w:rFonts w:ascii="inherit" w:eastAsia="Times New Roman" w:hAnsi="inherit" w:cs="Helvetica"/>
          <w:color w:val="333333"/>
          <w:sz w:val="27"/>
          <w:szCs w:val="27"/>
        </w:rPr>
        <w:t>iznos</w:t>
      </w:r>
      <w:proofErr w:type="gramEnd"/>
      <w:r w:rsidRPr="00BE39F9">
        <w:rPr>
          <w:rFonts w:ascii="inherit" w:eastAsia="Times New Roman" w:hAnsi="inherit" w:cs="Helvetica"/>
          <w:color w:val="333333"/>
          <w:sz w:val="27"/>
          <w:szCs w:val="27"/>
        </w:rPr>
        <w:t xml:space="preserve"> odloženih poreskih sredstava ili obaveza i odloženog poreskog prihoda ili rashoda, na početku i na kraju izveštajnog perioda, kao i promene tih pozicija u toku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7) </w:t>
      </w:r>
      <w:proofErr w:type="gramStart"/>
      <w:r w:rsidRPr="00BE39F9">
        <w:rPr>
          <w:rFonts w:ascii="inherit" w:eastAsia="Times New Roman" w:hAnsi="inherit" w:cs="Helvetica"/>
          <w:color w:val="333333"/>
          <w:sz w:val="27"/>
          <w:szCs w:val="27"/>
        </w:rPr>
        <w:t>naziv</w:t>
      </w:r>
      <w:proofErr w:type="gramEnd"/>
      <w:r w:rsidRPr="00BE39F9">
        <w:rPr>
          <w:rFonts w:ascii="inherit" w:eastAsia="Times New Roman" w:hAnsi="inherit" w:cs="Helvetica"/>
          <w:color w:val="333333"/>
          <w:sz w:val="27"/>
          <w:szCs w:val="27"/>
        </w:rPr>
        <w:t xml:space="preserve"> i sedište svakog pravnog lica u kojem pravno lice, odnosno preduzetnik, direktno ili indirektno poseduje udeo, iskazujući učešće u kapitalu, iznos kapitala i rezervi i dobitak ili gubitak poslednjeg izveštajnog perioda predmetnog pravnog lica, a za koje su usvojeni finansijski izveštaji. Pravno lice, odnosno preduzetnik ne mora da obelodani ove informacije kada bi njihovo obelodanjivanje nanelo značajnu štetu licima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koje se informacije odnose, s tim da je dužno da u Napomenama uz finansijske izveštaje obelodani informaciju da je iskoristilo pravo da ne obelodani ove informacije. Pravno lice nije dužno da prezentuje ove informacije za pravna lica koja su za njega zavisna i koja je uključilo u konsolidovane finansijske izveštaje koje sastavlja, kao i za pravna lica za koja je učešće u kapitalu vrednovalo metodom udela;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8) </w:t>
      </w:r>
      <w:proofErr w:type="gramStart"/>
      <w:r w:rsidRPr="00BE39F9">
        <w:rPr>
          <w:rFonts w:ascii="inherit" w:eastAsia="Times New Roman" w:hAnsi="inherit" w:cs="Helvetica"/>
          <w:color w:val="333333"/>
          <w:sz w:val="27"/>
          <w:szCs w:val="27"/>
        </w:rPr>
        <w:t>broj</w:t>
      </w:r>
      <w:proofErr w:type="gramEnd"/>
      <w:r w:rsidRPr="00BE39F9">
        <w:rPr>
          <w:rFonts w:ascii="inherit" w:eastAsia="Times New Roman" w:hAnsi="inherit" w:cs="Helvetica"/>
          <w:color w:val="333333"/>
          <w:sz w:val="27"/>
          <w:szCs w:val="27"/>
        </w:rPr>
        <w:t xml:space="preserve"> i nominalnu vrednost ili, ako ne postoji nominalna vrednost, knjigovodstvenu vrednost akcija upisanih tokom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9) </w:t>
      </w:r>
      <w:proofErr w:type="gramStart"/>
      <w:r w:rsidRPr="00BE39F9">
        <w:rPr>
          <w:rFonts w:ascii="inherit" w:eastAsia="Times New Roman" w:hAnsi="inherit" w:cs="Helvetica"/>
          <w:color w:val="333333"/>
          <w:sz w:val="27"/>
          <w:szCs w:val="27"/>
        </w:rPr>
        <w:t>u</w:t>
      </w:r>
      <w:proofErr w:type="gramEnd"/>
      <w:r w:rsidRPr="00BE39F9">
        <w:rPr>
          <w:rFonts w:ascii="inherit" w:eastAsia="Times New Roman" w:hAnsi="inherit" w:cs="Helvetica"/>
          <w:color w:val="333333"/>
          <w:sz w:val="27"/>
          <w:szCs w:val="27"/>
        </w:rPr>
        <w:t xml:space="preserve"> slučaju kada postoji više klasa akcija broj i nominalnu vrednost, ili ako ne postoji nominalna vrednost, knjigovodstvenu vrednost svake klase akcija;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10) </w:t>
      </w:r>
      <w:proofErr w:type="gramStart"/>
      <w:r w:rsidRPr="00BE39F9">
        <w:rPr>
          <w:rFonts w:ascii="inherit" w:eastAsia="Times New Roman" w:hAnsi="inherit" w:cs="Helvetica"/>
          <w:color w:val="333333"/>
          <w:sz w:val="27"/>
          <w:szCs w:val="27"/>
        </w:rPr>
        <w:t>postojanje</w:t>
      </w:r>
      <w:proofErr w:type="gramEnd"/>
      <w:r w:rsidRPr="00BE39F9">
        <w:rPr>
          <w:rFonts w:ascii="inherit" w:eastAsia="Times New Roman" w:hAnsi="inherit" w:cs="Helvetica"/>
          <w:color w:val="333333"/>
          <w:sz w:val="27"/>
          <w:szCs w:val="27"/>
        </w:rPr>
        <w:t xml:space="preserve"> bilo kakvih potvrda o učešću, konvertibilnih obaveznica, jemstava, opcija ili sličnih hartija od vrednosti ili prava, s naznakom njihovog broja i prava koja daju;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11) </w:t>
      </w:r>
      <w:proofErr w:type="gramStart"/>
      <w:r w:rsidRPr="00BE39F9">
        <w:rPr>
          <w:rFonts w:ascii="inherit" w:eastAsia="Times New Roman" w:hAnsi="inherit" w:cs="Helvetica"/>
          <w:color w:val="333333"/>
          <w:sz w:val="27"/>
          <w:szCs w:val="27"/>
        </w:rPr>
        <w:t>naziv</w:t>
      </w:r>
      <w:proofErr w:type="gramEnd"/>
      <w:r w:rsidRPr="00BE39F9">
        <w:rPr>
          <w:rFonts w:ascii="inherit" w:eastAsia="Times New Roman" w:hAnsi="inherit" w:cs="Helvetica"/>
          <w:color w:val="333333"/>
          <w:sz w:val="27"/>
          <w:szCs w:val="27"/>
        </w:rPr>
        <w:t>, sedište i pravni oblik svakog pravnog lica koje je po formi društvo sa ograničenom odgovornošću, a jedan od njegovih članova je pravno lice obveznik sastavljanja finansijskih izveštaja;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12) </w:t>
      </w:r>
      <w:proofErr w:type="gramStart"/>
      <w:r w:rsidRPr="00BE39F9">
        <w:rPr>
          <w:rFonts w:ascii="inherit" w:eastAsia="Times New Roman" w:hAnsi="inherit" w:cs="Helvetica"/>
          <w:color w:val="333333"/>
          <w:sz w:val="27"/>
          <w:szCs w:val="27"/>
        </w:rPr>
        <w:t>naziv</w:t>
      </w:r>
      <w:proofErr w:type="gramEnd"/>
      <w:r w:rsidRPr="00BE39F9">
        <w:rPr>
          <w:rFonts w:ascii="inherit" w:eastAsia="Times New Roman" w:hAnsi="inherit" w:cs="Helvetica"/>
          <w:color w:val="333333"/>
          <w:sz w:val="27"/>
          <w:szCs w:val="27"/>
        </w:rPr>
        <w:t xml:space="preserve"> i sedište pravnog lica koje sastavlja konsolidovane finansijske izveštaje najveće grupe pravnih lica u kojoj pravno lice učestvuje kao zavisno pravno lice;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13) </w:t>
      </w:r>
      <w:proofErr w:type="gramStart"/>
      <w:r w:rsidRPr="00BE39F9">
        <w:rPr>
          <w:rFonts w:ascii="inherit" w:eastAsia="Times New Roman" w:hAnsi="inherit" w:cs="Helvetica"/>
          <w:color w:val="333333"/>
          <w:sz w:val="27"/>
          <w:szCs w:val="27"/>
        </w:rPr>
        <w:t>naziv</w:t>
      </w:r>
      <w:proofErr w:type="gramEnd"/>
      <w:r w:rsidRPr="00BE39F9">
        <w:rPr>
          <w:rFonts w:ascii="inherit" w:eastAsia="Times New Roman" w:hAnsi="inherit" w:cs="Helvetica"/>
          <w:color w:val="333333"/>
          <w:sz w:val="27"/>
          <w:szCs w:val="27"/>
        </w:rPr>
        <w:t xml:space="preserve"> i sedište pravnog lica koje sastavlja konsolidovane finansijske izveštaje najmanje grupe pravnih lica u kojoj pravno lice učestvuje kao zavisno pravno lice i koje je takođe uključeno u grupu pravnih lica na koje se odnosi tačka 12);</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14) </w:t>
      </w:r>
      <w:proofErr w:type="gramStart"/>
      <w:r w:rsidRPr="00BE39F9">
        <w:rPr>
          <w:rFonts w:ascii="inherit" w:eastAsia="Times New Roman" w:hAnsi="inherit" w:cs="Helvetica"/>
          <w:color w:val="333333"/>
          <w:sz w:val="27"/>
          <w:szCs w:val="27"/>
        </w:rPr>
        <w:t>mesto</w:t>
      </w:r>
      <w:proofErr w:type="gramEnd"/>
      <w:r w:rsidRPr="00BE39F9">
        <w:rPr>
          <w:rFonts w:ascii="inherit" w:eastAsia="Times New Roman" w:hAnsi="inherit" w:cs="Helvetica"/>
          <w:color w:val="333333"/>
          <w:sz w:val="27"/>
          <w:szCs w:val="27"/>
        </w:rPr>
        <w:t xml:space="preserve"> gde se mogu dobiti kopije konsolidovanih finansijskih izveštaja na koje upućuju tač. 12) </w:t>
      </w:r>
      <w:proofErr w:type="gramStart"/>
      <w:r w:rsidRPr="00BE39F9">
        <w:rPr>
          <w:rFonts w:ascii="inherit" w:eastAsia="Times New Roman" w:hAnsi="inherit" w:cs="Helvetica"/>
          <w:color w:val="333333"/>
          <w:sz w:val="27"/>
          <w:szCs w:val="27"/>
        </w:rPr>
        <w:t>i</w:t>
      </w:r>
      <w:proofErr w:type="gramEnd"/>
      <w:r w:rsidRPr="00BE39F9">
        <w:rPr>
          <w:rFonts w:ascii="inherit" w:eastAsia="Times New Roman" w:hAnsi="inherit" w:cs="Helvetica"/>
          <w:color w:val="333333"/>
          <w:sz w:val="27"/>
          <w:szCs w:val="27"/>
        </w:rPr>
        <w:t xml:space="preserve"> 13) ovog stava, ukoliko su dostupni;</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15) </w:t>
      </w:r>
      <w:proofErr w:type="gramStart"/>
      <w:r w:rsidRPr="00BE39F9">
        <w:rPr>
          <w:rFonts w:ascii="inherit" w:eastAsia="Times New Roman" w:hAnsi="inherit" w:cs="Helvetica"/>
          <w:color w:val="333333"/>
          <w:sz w:val="27"/>
          <w:szCs w:val="27"/>
        </w:rPr>
        <w:t>predloženu</w:t>
      </w:r>
      <w:proofErr w:type="gramEnd"/>
      <w:r w:rsidRPr="00BE39F9">
        <w:rPr>
          <w:rFonts w:ascii="inherit" w:eastAsia="Times New Roman" w:hAnsi="inherit" w:cs="Helvetica"/>
          <w:color w:val="333333"/>
          <w:sz w:val="27"/>
          <w:szCs w:val="27"/>
        </w:rPr>
        <w:t xml:space="preserve"> raspodelu dobiti ili predloženo postupanje s gubitkom, ili, ako je to primenljivo, raspodelu dobiti ili postupanje s gubitkom;</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16) </w:t>
      </w:r>
      <w:proofErr w:type="gramStart"/>
      <w:r w:rsidRPr="00BE39F9">
        <w:rPr>
          <w:rFonts w:ascii="inherit" w:eastAsia="Times New Roman" w:hAnsi="inherit" w:cs="Helvetica"/>
          <w:color w:val="333333"/>
          <w:sz w:val="27"/>
          <w:szCs w:val="27"/>
        </w:rPr>
        <w:t>prirodu</w:t>
      </w:r>
      <w:proofErr w:type="gramEnd"/>
      <w:r w:rsidRPr="00BE39F9">
        <w:rPr>
          <w:rFonts w:ascii="inherit" w:eastAsia="Times New Roman" w:hAnsi="inherit" w:cs="Helvetica"/>
          <w:color w:val="333333"/>
          <w:sz w:val="27"/>
          <w:szCs w:val="27"/>
        </w:rPr>
        <w:t xml:space="preserve"> i poslovnu svrhu aranžmana pravnog lica, odnosno preduzetnika koji nisu uključeni u Bilans stanja i finansijski uticaj tih aranžmana na pravno lice, ukoliko su rizici ili koristi koji proističu iz tih aranžmana materijalni i u meri u kojoj je obelodanjivanje takvih rizika ili koristi neophodno za procenu njegovog finansijskog stanja;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17) </w:t>
      </w:r>
      <w:proofErr w:type="gramStart"/>
      <w:r w:rsidRPr="00BE39F9">
        <w:rPr>
          <w:rFonts w:ascii="inherit" w:eastAsia="Times New Roman" w:hAnsi="inherit" w:cs="Helvetica"/>
          <w:color w:val="333333"/>
          <w:sz w:val="27"/>
          <w:szCs w:val="27"/>
        </w:rPr>
        <w:t>prirodu</w:t>
      </w:r>
      <w:proofErr w:type="gramEnd"/>
      <w:r w:rsidRPr="00BE39F9">
        <w:rPr>
          <w:rFonts w:ascii="inherit" w:eastAsia="Times New Roman" w:hAnsi="inherit" w:cs="Helvetica"/>
          <w:color w:val="333333"/>
          <w:sz w:val="27"/>
          <w:szCs w:val="27"/>
        </w:rPr>
        <w:t xml:space="preserve"> i finansijski efekat značajnih događaja koji su nastupili nakon datuma Bilansa stanja i koji nisu prikazani u Bilansu uspeha ili Bilansu stanja;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18) </w:t>
      </w:r>
      <w:proofErr w:type="gramStart"/>
      <w:r w:rsidRPr="00BE39F9">
        <w:rPr>
          <w:rFonts w:ascii="inherit" w:eastAsia="Times New Roman" w:hAnsi="inherit" w:cs="Helvetica"/>
          <w:color w:val="333333"/>
          <w:sz w:val="27"/>
          <w:szCs w:val="27"/>
        </w:rPr>
        <w:t>transakcije</w:t>
      </w:r>
      <w:proofErr w:type="gramEnd"/>
      <w:r w:rsidRPr="00BE39F9">
        <w:rPr>
          <w:rFonts w:ascii="inherit" w:eastAsia="Times New Roman" w:hAnsi="inherit" w:cs="Helvetica"/>
          <w:color w:val="333333"/>
          <w:sz w:val="27"/>
          <w:szCs w:val="27"/>
        </w:rPr>
        <w:t xml:space="preserve"> pravnog lica, odnosno preduzetnika s povezanim stranama, uključujući iznos takvih transakcija, prirodu odnosa sa povezanim stranama i druge informacije o transakcijama neophodne za razumevanje finansijskog položaja. Informacije o pojedinačnim transakcijama mogu se objediniti u skladu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njihovom prirodom, osim kada su odvojene informacije potrebne za razumevanje efekata tih transakcija na finansijsko stanje pravnog lica. Informacije o ovim transakcijama se obelodanjuju samo ako nisu zaključene pod uobičajenim tržišnim uslovima.</w:t>
      </w:r>
    </w:p>
    <w:p w:rsidR="00BE39F9" w:rsidRPr="00BE39F9" w:rsidRDefault="00BE39F9" w:rsidP="00BE39F9">
      <w:pPr>
        <w:shd w:val="clear" w:color="auto" w:fill="FFFFFF"/>
        <w:spacing w:after="0" w:line="240" w:lineRule="auto"/>
        <w:textAlignment w:val="baseline"/>
        <w:outlineLvl w:val="3"/>
        <w:rPr>
          <w:rFonts w:ascii="Helvetica" w:eastAsia="Times New Roman" w:hAnsi="Helvetica" w:cs="Helvetica"/>
          <w:b/>
          <w:bCs/>
          <w:color w:val="D23232"/>
          <w:sz w:val="33"/>
          <w:szCs w:val="33"/>
        </w:rPr>
      </w:pPr>
      <w:r w:rsidRPr="00BE39F9">
        <w:rPr>
          <w:rFonts w:ascii="inherit" w:eastAsia="Times New Roman" w:hAnsi="inherit" w:cs="Helvetica"/>
          <w:b/>
          <w:bCs/>
          <w:color w:val="D23232"/>
          <w:sz w:val="33"/>
          <w:szCs w:val="33"/>
          <w:bdr w:val="none" w:sz="0" w:space="0" w:color="auto" w:frame="1"/>
        </w:rPr>
        <w:t xml:space="preserve">3. Dodatna obelodanjivanja za društva </w:t>
      </w:r>
      <w:proofErr w:type="gramStart"/>
      <w:r w:rsidRPr="00BE39F9">
        <w:rPr>
          <w:rFonts w:ascii="inherit" w:eastAsia="Times New Roman" w:hAnsi="inherit" w:cs="Helvetica"/>
          <w:b/>
          <w:bCs/>
          <w:color w:val="D23232"/>
          <w:sz w:val="33"/>
          <w:szCs w:val="33"/>
          <w:bdr w:val="none" w:sz="0" w:space="0" w:color="auto" w:frame="1"/>
        </w:rPr>
        <w:t>od</w:t>
      </w:r>
      <w:proofErr w:type="gramEnd"/>
      <w:r w:rsidRPr="00BE39F9">
        <w:rPr>
          <w:rFonts w:ascii="inherit" w:eastAsia="Times New Roman" w:hAnsi="inherit" w:cs="Helvetica"/>
          <w:b/>
          <w:bCs/>
          <w:color w:val="D23232"/>
          <w:sz w:val="33"/>
          <w:szCs w:val="33"/>
          <w:bdr w:val="none" w:sz="0" w:space="0" w:color="auto" w:frame="1"/>
        </w:rPr>
        <w:t xml:space="preserve"> javnog interesa</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32.</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Društva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javnog interesa u Napomenama uz finansijske izveštaje, osim informacija koje se zahtevaju članom 30. </w:t>
      </w:r>
      <w:proofErr w:type="gramStart"/>
      <w:r w:rsidRPr="00BE39F9">
        <w:rPr>
          <w:rFonts w:ascii="inherit" w:eastAsia="Times New Roman" w:hAnsi="inherit" w:cs="Helvetica"/>
          <w:color w:val="333333"/>
          <w:sz w:val="27"/>
          <w:szCs w:val="27"/>
        </w:rPr>
        <w:t>stav</w:t>
      </w:r>
      <w:proofErr w:type="gramEnd"/>
      <w:r w:rsidRPr="00BE39F9">
        <w:rPr>
          <w:rFonts w:ascii="inherit" w:eastAsia="Times New Roman" w:hAnsi="inherit" w:cs="Helvetica"/>
          <w:color w:val="333333"/>
          <w:sz w:val="27"/>
          <w:szCs w:val="27"/>
        </w:rPr>
        <w:t xml:space="preserve"> 4. </w:t>
      </w:r>
      <w:proofErr w:type="gramStart"/>
      <w:r w:rsidRPr="00BE39F9">
        <w:rPr>
          <w:rFonts w:ascii="inherit" w:eastAsia="Times New Roman" w:hAnsi="inherit" w:cs="Helvetica"/>
          <w:color w:val="333333"/>
          <w:sz w:val="27"/>
          <w:szCs w:val="27"/>
        </w:rPr>
        <w:t>i</w:t>
      </w:r>
      <w:proofErr w:type="gramEnd"/>
      <w:r w:rsidRPr="00BE39F9">
        <w:rPr>
          <w:rFonts w:ascii="inherit" w:eastAsia="Times New Roman" w:hAnsi="inherit" w:cs="Helvetica"/>
          <w:color w:val="333333"/>
          <w:sz w:val="27"/>
          <w:szCs w:val="27"/>
        </w:rPr>
        <w:t xml:space="preserve"> članom 31. </w:t>
      </w:r>
      <w:proofErr w:type="gramStart"/>
      <w:r w:rsidRPr="00BE39F9">
        <w:rPr>
          <w:rFonts w:ascii="inherit" w:eastAsia="Times New Roman" w:hAnsi="inherit" w:cs="Helvetica"/>
          <w:color w:val="333333"/>
          <w:sz w:val="27"/>
          <w:szCs w:val="27"/>
        </w:rPr>
        <w:t>ovog</w:t>
      </w:r>
      <w:proofErr w:type="gramEnd"/>
      <w:r w:rsidRPr="00BE39F9">
        <w:rPr>
          <w:rFonts w:ascii="inherit" w:eastAsia="Times New Roman" w:hAnsi="inherit" w:cs="Helvetica"/>
          <w:color w:val="333333"/>
          <w:sz w:val="27"/>
          <w:szCs w:val="27"/>
        </w:rPr>
        <w:t xml:space="preserve"> pravilnika, obelodanjuju i sledeće informacije: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 </w:t>
      </w:r>
      <w:proofErr w:type="gramStart"/>
      <w:r w:rsidRPr="00BE39F9">
        <w:rPr>
          <w:rFonts w:ascii="inherit" w:eastAsia="Times New Roman" w:hAnsi="inherit" w:cs="Helvetica"/>
          <w:color w:val="333333"/>
          <w:sz w:val="27"/>
          <w:szCs w:val="27"/>
        </w:rPr>
        <w:t>poslovni</w:t>
      </w:r>
      <w:proofErr w:type="gramEnd"/>
      <w:r w:rsidRPr="00BE39F9">
        <w:rPr>
          <w:rFonts w:ascii="inherit" w:eastAsia="Times New Roman" w:hAnsi="inherit" w:cs="Helvetica"/>
          <w:color w:val="333333"/>
          <w:sz w:val="27"/>
          <w:szCs w:val="27"/>
        </w:rPr>
        <w:t xml:space="preserve"> prihod raščlanjen po kategorijama aktivnosti i geografskim tržištima, ako se te kategorije i tržišta znatno razlikuju, uzimajući u obzir način na koji je organizovana prodaja proizvoda (roba) i pružanje usluga;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2) </w:t>
      </w:r>
      <w:proofErr w:type="gramStart"/>
      <w:r w:rsidRPr="00BE39F9">
        <w:rPr>
          <w:rFonts w:ascii="inherit" w:eastAsia="Times New Roman" w:hAnsi="inherit" w:cs="Helvetica"/>
          <w:color w:val="333333"/>
          <w:sz w:val="27"/>
          <w:szCs w:val="27"/>
        </w:rPr>
        <w:t>ukupan</w:t>
      </w:r>
      <w:proofErr w:type="gramEnd"/>
      <w:r w:rsidRPr="00BE39F9">
        <w:rPr>
          <w:rFonts w:ascii="inherit" w:eastAsia="Times New Roman" w:hAnsi="inherit" w:cs="Helvetica"/>
          <w:color w:val="333333"/>
          <w:sz w:val="27"/>
          <w:szCs w:val="27"/>
        </w:rPr>
        <w:t xml:space="preserve"> iznos naknada koje za određeni izveštajni period naplaćuje svaki samostalni revizor ili revizorsko društvo za zakonsku reviziju godišnjih finansijskih izveštaja, i ukupan iznos naknada koje naplaćuje svaki samostalni revizor ili revizorsko društvo za druge usluge provere, za usluge poreskog savetovanja, kao i za druge usluge osim revizorskih.</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Društvo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javnog interesa ne mora da obelodani informacije iz stava 1. </w:t>
      </w:r>
      <w:proofErr w:type="gramStart"/>
      <w:r w:rsidRPr="00BE39F9">
        <w:rPr>
          <w:rFonts w:ascii="inherit" w:eastAsia="Times New Roman" w:hAnsi="inherit" w:cs="Helvetica"/>
          <w:color w:val="333333"/>
          <w:sz w:val="27"/>
          <w:szCs w:val="27"/>
        </w:rPr>
        <w:t>tačka</w:t>
      </w:r>
      <w:proofErr w:type="gramEnd"/>
      <w:r w:rsidRPr="00BE39F9">
        <w:rPr>
          <w:rFonts w:ascii="inherit" w:eastAsia="Times New Roman" w:hAnsi="inherit" w:cs="Helvetica"/>
          <w:color w:val="333333"/>
          <w:sz w:val="27"/>
          <w:szCs w:val="27"/>
        </w:rPr>
        <w:t xml:space="preserve"> 1) ovog člana u slučaju kada bi mu njihovo obelodanjivanje nanelo značajnu štetu.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Društvo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javnog interesa je dužno da u Napomenama obelodani informaciju da je iskoristilo pravo iz stava 2. </w:t>
      </w:r>
      <w:proofErr w:type="gramStart"/>
      <w:r w:rsidRPr="00BE39F9">
        <w:rPr>
          <w:rFonts w:ascii="inherit" w:eastAsia="Times New Roman" w:hAnsi="inherit" w:cs="Helvetica"/>
          <w:color w:val="333333"/>
          <w:sz w:val="27"/>
          <w:szCs w:val="27"/>
        </w:rPr>
        <w:t>ovog</w:t>
      </w:r>
      <w:proofErr w:type="gramEnd"/>
      <w:r w:rsidRPr="00BE39F9">
        <w:rPr>
          <w:rFonts w:ascii="inherit" w:eastAsia="Times New Roman" w:hAnsi="inherit" w:cs="Helvetica"/>
          <w:color w:val="333333"/>
          <w:sz w:val="27"/>
          <w:szCs w:val="27"/>
        </w:rPr>
        <w:t xml:space="preserve"> člana.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Ukoliko je društvo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javnog interesa uključeno u konsolidovanje ne mora da obelodani informacije iz stava 1. </w:t>
      </w:r>
      <w:proofErr w:type="gramStart"/>
      <w:r w:rsidRPr="00BE39F9">
        <w:rPr>
          <w:rFonts w:ascii="inherit" w:eastAsia="Times New Roman" w:hAnsi="inherit" w:cs="Helvetica"/>
          <w:color w:val="333333"/>
          <w:sz w:val="27"/>
          <w:szCs w:val="27"/>
        </w:rPr>
        <w:t>tačka</w:t>
      </w:r>
      <w:proofErr w:type="gramEnd"/>
      <w:r w:rsidRPr="00BE39F9">
        <w:rPr>
          <w:rFonts w:ascii="inherit" w:eastAsia="Times New Roman" w:hAnsi="inherit" w:cs="Helvetica"/>
          <w:color w:val="333333"/>
          <w:sz w:val="27"/>
          <w:szCs w:val="27"/>
        </w:rPr>
        <w:t xml:space="preserve"> 2) ovog člana pod uslovom da je ta informacija sadržana u konsolidovanim napomenama uz finansijske izveštaje.</w:t>
      </w:r>
    </w:p>
    <w:p w:rsidR="00BE39F9" w:rsidRPr="00BE39F9" w:rsidRDefault="00BE39F9" w:rsidP="00BE39F9">
      <w:pPr>
        <w:shd w:val="clear" w:color="auto" w:fill="FFFFFF"/>
        <w:spacing w:after="0" w:line="240" w:lineRule="auto"/>
        <w:textAlignment w:val="baseline"/>
        <w:outlineLvl w:val="3"/>
        <w:rPr>
          <w:rFonts w:ascii="Helvetica" w:eastAsia="Times New Roman" w:hAnsi="Helvetica" w:cs="Helvetica"/>
          <w:b/>
          <w:bCs/>
          <w:color w:val="D23232"/>
          <w:sz w:val="33"/>
          <w:szCs w:val="33"/>
        </w:rPr>
      </w:pPr>
      <w:r w:rsidRPr="00BE39F9">
        <w:rPr>
          <w:rFonts w:ascii="inherit" w:eastAsia="Times New Roman" w:hAnsi="inherit" w:cs="Helvetica"/>
          <w:b/>
          <w:bCs/>
          <w:color w:val="D23232"/>
          <w:sz w:val="33"/>
          <w:szCs w:val="33"/>
          <w:bdr w:val="none" w:sz="0" w:space="0" w:color="auto" w:frame="1"/>
        </w:rPr>
        <w:t>4. Dodatna obelodanjivanja u konsolidovanim napomenama uz finansijske izveštaje</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33.</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U konsolidovanim napomenama uz finansijske izveštaje matično pravno lice obelodanjuje informacije zahtevane članom 30.</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stav</w:t>
      </w:r>
      <w:proofErr w:type="gramEnd"/>
      <w:r w:rsidRPr="00BE39F9">
        <w:rPr>
          <w:rFonts w:ascii="inherit" w:eastAsia="Times New Roman" w:hAnsi="inherit" w:cs="Helvetica"/>
          <w:color w:val="333333"/>
          <w:sz w:val="27"/>
          <w:szCs w:val="27"/>
        </w:rPr>
        <w:t xml:space="preserve"> 4. </w:t>
      </w:r>
      <w:proofErr w:type="gramStart"/>
      <w:r w:rsidRPr="00BE39F9">
        <w:rPr>
          <w:rFonts w:ascii="inherit" w:eastAsia="Times New Roman" w:hAnsi="inherit" w:cs="Helvetica"/>
          <w:color w:val="333333"/>
          <w:sz w:val="27"/>
          <w:szCs w:val="27"/>
        </w:rPr>
        <w:t>i</w:t>
      </w:r>
      <w:proofErr w:type="gramEnd"/>
      <w:r w:rsidRPr="00BE39F9">
        <w:rPr>
          <w:rFonts w:ascii="inherit" w:eastAsia="Times New Roman" w:hAnsi="inherit" w:cs="Helvetica"/>
          <w:color w:val="333333"/>
          <w:sz w:val="27"/>
          <w:szCs w:val="27"/>
        </w:rPr>
        <w:t xml:space="preserve"> čl. 31. </w:t>
      </w:r>
      <w:proofErr w:type="gramStart"/>
      <w:r w:rsidRPr="00BE39F9">
        <w:rPr>
          <w:rFonts w:ascii="inherit" w:eastAsia="Times New Roman" w:hAnsi="inherit" w:cs="Helvetica"/>
          <w:color w:val="333333"/>
          <w:sz w:val="27"/>
          <w:szCs w:val="27"/>
        </w:rPr>
        <w:t>i</w:t>
      </w:r>
      <w:proofErr w:type="gramEnd"/>
      <w:r w:rsidRPr="00BE39F9">
        <w:rPr>
          <w:rFonts w:ascii="inherit" w:eastAsia="Times New Roman" w:hAnsi="inherit" w:cs="Helvetica"/>
          <w:color w:val="333333"/>
          <w:sz w:val="27"/>
          <w:szCs w:val="27"/>
        </w:rPr>
        <w:t xml:space="preserve"> 32. </w:t>
      </w:r>
      <w:proofErr w:type="gramStart"/>
      <w:r w:rsidRPr="00BE39F9">
        <w:rPr>
          <w:rFonts w:ascii="inherit" w:eastAsia="Times New Roman" w:hAnsi="inherit" w:cs="Helvetica"/>
          <w:color w:val="333333"/>
          <w:sz w:val="27"/>
          <w:szCs w:val="27"/>
        </w:rPr>
        <w:t>ovog</w:t>
      </w:r>
      <w:proofErr w:type="gramEnd"/>
      <w:r w:rsidRPr="00BE39F9">
        <w:rPr>
          <w:rFonts w:ascii="inherit" w:eastAsia="Times New Roman" w:hAnsi="inherit" w:cs="Helvetica"/>
          <w:color w:val="333333"/>
          <w:sz w:val="27"/>
          <w:szCs w:val="27"/>
        </w:rPr>
        <w:t xml:space="preserve"> pravilnika na način koji olakšava procenu finansijskog stanja pravnih lica koja su uključena u konsolidovanje i predstavljaju ekonomsku celinu, uzimajući u obzir neophodna usklađivanja koja proističu iz posebnih obeležja konsolidovanih finansijskih izveštaja u poređenju sa redovnim pojedinačnim godišnjim finansijskim izveštajima. Matično pravno lice u konsolidovanim napomenama uz finansijske izveštaje: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 </w:t>
      </w:r>
      <w:proofErr w:type="gramStart"/>
      <w:r w:rsidRPr="00BE39F9">
        <w:rPr>
          <w:rFonts w:ascii="inherit" w:eastAsia="Times New Roman" w:hAnsi="inherit" w:cs="Helvetica"/>
          <w:color w:val="333333"/>
          <w:sz w:val="27"/>
          <w:szCs w:val="27"/>
        </w:rPr>
        <w:t>pri</w:t>
      </w:r>
      <w:proofErr w:type="gramEnd"/>
      <w:r w:rsidRPr="00BE39F9">
        <w:rPr>
          <w:rFonts w:ascii="inherit" w:eastAsia="Times New Roman" w:hAnsi="inherit" w:cs="Helvetica"/>
          <w:color w:val="333333"/>
          <w:sz w:val="27"/>
          <w:szCs w:val="27"/>
        </w:rPr>
        <w:t xml:space="preserve"> obelodanjivanju transakcija između povezanih strana, ne uključuje transakcije između povezanih strana obuhvaćenih konsolidovanjem koje su eliminisane konsolidovanjem;</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2) </w:t>
      </w:r>
      <w:proofErr w:type="gramStart"/>
      <w:r w:rsidRPr="00BE39F9">
        <w:rPr>
          <w:rFonts w:ascii="inherit" w:eastAsia="Times New Roman" w:hAnsi="inherit" w:cs="Helvetica"/>
          <w:color w:val="333333"/>
          <w:sz w:val="27"/>
          <w:szCs w:val="27"/>
        </w:rPr>
        <w:t>pri</w:t>
      </w:r>
      <w:proofErr w:type="gramEnd"/>
      <w:r w:rsidRPr="00BE39F9">
        <w:rPr>
          <w:rFonts w:ascii="inherit" w:eastAsia="Times New Roman" w:hAnsi="inherit" w:cs="Helvetica"/>
          <w:color w:val="333333"/>
          <w:sz w:val="27"/>
          <w:szCs w:val="27"/>
        </w:rPr>
        <w:t xml:space="preserve"> obelodanjivanju prosečnog broja zaposlenih tokom izveštajnog perioda, odvojeno objavljuje broj zaposlenih tokom izveštajnog perioda u privrednim društvima obuhvaćenim metodom proporcionalnog konsolidovanja;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3) </w:t>
      </w:r>
      <w:proofErr w:type="gramStart"/>
      <w:r w:rsidRPr="00BE39F9">
        <w:rPr>
          <w:rFonts w:ascii="inherit" w:eastAsia="Times New Roman" w:hAnsi="inherit" w:cs="Helvetica"/>
          <w:color w:val="333333"/>
          <w:sz w:val="27"/>
          <w:szCs w:val="27"/>
        </w:rPr>
        <w:t>pri</w:t>
      </w:r>
      <w:proofErr w:type="gramEnd"/>
      <w:r w:rsidRPr="00BE39F9">
        <w:rPr>
          <w:rFonts w:ascii="inherit" w:eastAsia="Times New Roman" w:hAnsi="inherit" w:cs="Helvetica"/>
          <w:color w:val="333333"/>
          <w:sz w:val="27"/>
          <w:szCs w:val="27"/>
        </w:rPr>
        <w:t xml:space="preserve"> obelodanjivanju iznosa prihoda, pozajmica i odobrenih kredita članovima administrativnih, upravljačkih i nadzornih tela, objavljuje samo iznose koje su matično pravno lice i zavisna pravna lica odobrili članovima organa upravljanja i nadzora matičnog pravnog lica.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Napomene uz konsolidovane finansijske izveštaje pored informacija zahtevanih stavom 1. </w:t>
      </w:r>
      <w:proofErr w:type="gramStart"/>
      <w:r w:rsidRPr="00BE39F9">
        <w:rPr>
          <w:rFonts w:ascii="inherit" w:eastAsia="Times New Roman" w:hAnsi="inherit" w:cs="Helvetica"/>
          <w:color w:val="333333"/>
          <w:sz w:val="27"/>
          <w:szCs w:val="27"/>
        </w:rPr>
        <w:t>ovog</w:t>
      </w:r>
      <w:proofErr w:type="gramEnd"/>
      <w:r w:rsidRPr="00BE39F9">
        <w:rPr>
          <w:rFonts w:ascii="inherit" w:eastAsia="Times New Roman" w:hAnsi="inherit" w:cs="Helvetica"/>
          <w:color w:val="333333"/>
          <w:sz w:val="27"/>
          <w:szCs w:val="27"/>
        </w:rPr>
        <w:t xml:space="preserve"> člana sadrže i sledeće informacije: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 </w:t>
      </w:r>
      <w:proofErr w:type="gramStart"/>
      <w:r w:rsidRPr="00BE39F9">
        <w:rPr>
          <w:rFonts w:ascii="inherit" w:eastAsia="Times New Roman" w:hAnsi="inherit" w:cs="Helvetica"/>
          <w:color w:val="333333"/>
          <w:sz w:val="27"/>
          <w:szCs w:val="27"/>
        </w:rPr>
        <w:t>za</w:t>
      </w:r>
      <w:proofErr w:type="gramEnd"/>
      <w:r w:rsidRPr="00BE39F9">
        <w:rPr>
          <w:rFonts w:ascii="inherit" w:eastAsia="Times New Roman" w:hAnsi="inherit" w:cs="Helvetica"/>
          <w:color w:val="333333"/>
          <w:sz w:val="27"/>
          <w:szCs w:val="27"/>
        </w:rPr>
        <w:t xml:space="preserve"> pravna lica obuhvaćena konsolidovanjem:</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 </w:t>
      </w:r>
      <w:proofErr w:type="gramStart"/>
      <w:r w:rsidRPr="00BE39F9">
        <w:rPr>
          <w:rFonts w:ascii="inherit" w:eastAsia="Times New Roman" w:hAnsi="inherit" w:cs="Helvetica"/>
          <w:color w:val="333333"/>
          <w:sz w:val="27"/>
          <w:szCs w:val="27"/>
        </w:rPr>
        <w:t>nazive</w:t>
      </w:r>
      <w:proofErr w:type="gramEnd"/>
      <w:r w:rsidRPr="00BE39F9">
        <w:rPr>
          <w:rFonts w:ascii="inherit" w:eastAsia="Times New Roman" w:hAnsi="inherit" w:cs="Helvetica"/>
          <w:color w:val="333333"/>
          <w:sz w:val="27"/>
          <w:szCs w:val="27"/>
        </w:rPr>
        <w:t xml:space="preserve"> i sedišta tih pravnih lica;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(2) </w:t>
      </w:r>
      <w:proofErr w:type="gramStart"/>
      <w:r w:rsidRPr="00BE39F9">
        <w:rPr>
          <w:rFonts w:ascii="inherit" w:eastAsia="Times New Roman" w:hAnsi="inherit" w:cs="Helvetica"/>
          <w:color w:val="333333"/>
          <w:sz w:val="27"/>
          <w:szCs w:val="27"/>
        </w:rPr>
        <w:t>udeo</w:t>
      </w:r>
      <w:proofErr w:type="gramEnd"/>
      <w:r w:rsidRPr="00BE39F9">
        <w:rPr>
          <w:rFonts w:ascii="inherit" w:eastAsia="Times New Roman" w:hAnsi="inherit" w:cs="Helvetica"/>
          <w:color w:val="333333"/>
          <w:sz w:val="27"/>
          <w:szCs w:val="27"/>
        </w:rPr>
        <w:t xml:space="preserve"> u kapitalu koji u tim pravnim licima, osim u matičnom pravnom licu, drže pravna lica obuhvaćena konsolidovanjem ili lica koja deluju u svoje ime a za račun tih pravnih lica;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(3) </w:t>
      </w:r>
      <w:proofErr w:type="gramStart"/>
      <w:r w:rsidRPr="00BE39F9">
        <w:rPr>
          <w:rFonts w:ascii="inherit" w:eastAsia="Times New Roman" w:hAnsi="inherit" w:cs="Helvetica"/>
          <w:color w:val="333333"/>
          <w:sz w:val="27"/>
          <w:szCs w:val="27"/>
        </w:rPr>
        <w:t>informaciju</w:t>
      </w:r>
      <w:proofErr w:type="gramEnd"/>
      <w:r w:rsidRPr="00BE39F9">
        <w:rPr>
          <w:rFonts w:ascii="inherit" w:eastAsia="Times New Roman" w:hAnsi="inherit" w:cs="Helvetica"/>
          <w:color w:val="333333"/>
          <w:sz w:val="27"/>
          <w:szCs w:val="27"/>
        </w:rPr>
        <w:t xml:space="preserve"> o tome po kom osnovu matično pravno lice ima kontrolu nad zavisnim pravnim licem (ova informacija se ne mora objaviti kada matično pravno licem ima većinu glasačkih prava u zavisnom pravnom licu i u slučaju kada su udeo u kapitalu i udeo u glasačkim pravima jednaki). Ove informacije se obelodanjuju za pravna lica koja su izuzeta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obaveze sastavljanja konsolidovanih finansijskih izveštaja na osnovu nematerijalnosti u skladu sa odredbama člana 32. </w:t>
      </w:r>
      <w:proofErr w:type="gramStart"/>
      <w:r w:rsidRPr="00BE39F9">
        <w:rPr>
          <w:rFonts w:ascii="inherit" w:eastAsia="Times New Roman" w:hAnsi="inherit" w:cs="Helvetica"/>
          <w:color w:val="333333"/>
          <w:sz w:val="27"/>
          <w:szCs w:val="27"/>
        </w:rPr>
        <w:t>Zakona.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2) </w:t>
      </w:r>
      <w:proofErr w:type="gramStart"/>
      <w:r w:rsidRPr="00BE39F9">
        <w:rPr>
          <w:rFonts w:ascii="inherit" w:eastAsia="Times New Roman" w:hAnsi="inherit" w:cs="Helvetica"/>
          <w:color w:val="333333"/>
          <w:sz w:val="27"/>
          <w:szCs w:val="27"/>
        </w:rPr>
        <w:t>nazivi</w:t>
      </w:r>
      <w:proofErr w:type="gramEnd"/>
      <w:r w:rsidRPr="00BE39F9">
        <w:rPr>
          <w:rFonts w:ascii="inherit" w:eastAsia="Times New Roman" w:hAnsi="inherit" w:cs="Helvetica"/>
          <w:color w:val="333333"/>
          <w:sz w:val="27"/>
          <w:szCs w:val="27"/>
        </w:rPr>
        <w:t xml:space="preserve"> i sedišta povezanih pravnih lica uključenih u konsolidovanje primenom metode učešća, kao i učešća u njihovom kapitalu koja su u posedu pravnih lica obuhvaćenih konsolidovanjem ili lica koja deluju u svoje ime a za račun takvih pravnih lica;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3) </w:t>
      </w:r>
      <w:proofErr w:type="gramStart"/>
      <w:r w:rsidRPr="00BE39F9">
        <w:rPr>
          <w:rFonts w:ascii="inherit" w:eastAsia="Times New Roman" w:hAnsi="inherit" w:cs="Helvetica"/>
          <w:color w:val="333333"/>
          <w:sz w:val="27"/>
          <w:szCs w:val="27"/>
        </w:rPr>
        <w:t>nazivi</w:t>
      </w:r>
      <w:proofErr w:type="gramEnd"/>
      <w:r w:rsidRPr="00BE39F9">
        <w:rPr>
          <w:rFonts w:ascii="inherit" w:eastAsia="Times New Roman" w:hAnsi="inherit" w:cs="Helvetica"/>
          <w:color w:val="333333"/>
          <w:sz w:val="27"/>
          <w:szCs w:val="27"/>
        </w:rPr>
        <w:t xml:space="preserve"> i sedišta pravnih lica uključenih u konsolidovanje primenom metode proporcionalnog konsolidovanja, objašnjenje po kom osnovu postoji zajedničko upravljanje tim pravnim licima, kao i visinu njihovog kapitala koji drže pravna lica obuhvaćena konsolidovanjem ili lica koja deluju u svoje ime a za račun takvih pravnih lica;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4) </w:t>
      </w:r>
      <w:proofErr w:type="gramStart"/>
      <w:r w:rsidRPr="00BE39F9">
        <w:rPr>
          <w:rFonts w:ascii="inherit" w:eastAsia="Times New Roman" w:hAnsi="inherit" w:cs="Helvetica"/>
          <w:color w:val="333333"/>
          <w:sz w:val="27"/>
          <w:szCs w:val="27"/>
        </w:rPr>
        <w:t>za</w:t>
      </w:r>
      <w:proofErr w:type="gramEnd"/>
      <w:r w:rsidRPr="00BE39F9">
        <w:rPr>
          <w:rFonts w:ascii="inherit" w:eastAsia="Times New Roman" w:hAnsi="inherit" w:cs="Helvetica"/>
          <w:color w:val="333333"/>
          <w:sz w:val="27"/>
          <w:szCs w:val="27"/>
        </w:rPr>
        <w:t xml:space="preserve"> sva pravna lica osim onih navedenih u tač. 1), 2) i 3) ovog stava, u kojima pravna lica obuhvaćena konsolidovanjem, bilo </w:t>
      </w:r>
      <w:proofErr w:type="gramStart"/>
      <w:r w:rsidRPr="00BE39F9">
        <w:rPr>
          <w:rFonts w:ascii="inherit" w:eastAsia="Times New Roman" w:hAnsi="inherit" w:cs="Helvetica"/>
          <w:color w:val="333333"/>
          <w:sz w:val="27"/>
          <w:szCs w:val="27"/>
        </w:rPr>
        <w:t>sama</w:t>
      </w:r>
      <w:proofErr w:type="gramEnd"/>
      <w:r w:rsidRPr="00BE39F9">
        <w:rPr>
          <w:rFonts w:ascii="inherit" w:eastAsia="Times New Roman" w:hAnsi="inherit" w:cs="Helvetica"/>
          <w:color w:val="333333"/>
          <w:sz w:val="27"/>
          <w:szCs w:val="27"/>
        </w:rPr>
        <w:t xml:space="preserve"> ili preko lica koja deluju u svoje ime a za račun tih pravnih lica, imaju suvlasnički udeo:</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 </w:t>
      </w:r>
      <w:proofErr w:type="gramStart"/>
      <w:r w:rsidRPr="00BE39F9">
        <w:rPr>
          <w:rFonts w:ascii="inherit" w:eastAsia="Times New Roman" w:hAnsi="inherit" w:cs="Helvetica"/>
          <w:color w:val="333333"/>
          <w:sz w:val="27"/>
          <w:szCs w:val="27"/>
        </w:rPr>
        <w:t>naziv</w:t>
      </w:r>
      <w:proofErr w:type="gramEnd"/>
      <w:r w:rsidRPr="00BE39F9">
        <w:rPr>
          <w:rFonts w:ascii="inherit" w:eastAsia="Times New Roman" w:hAnsi="inherit" w:cs="Helvetica"/>
          <w:color w:val="333333"/>
          <w:sz w:val="27"/>
          <w:szCs w:val="27"/>
        </w:rPr>
        <w:t xml:space="preserve"> i sedište tih pravnih lica;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(2) </w:t>
      </w:r>
      <w:proofErr w:type="gramStart"/>
      <w:r w:rsidRPr="00BE39F9">
        <w:rPr>
          <w:rFonts w:ascii="inherit" w:eastAsia="Times New Roman" w:hAnsi="inherit" w:cs="Helvetica"/>
          <w:color w:val="333333"/>
          <w:sz w:val="27"/>
          <w:szCs w:val="27"/>
        </w:rPr>
        <w:t>udeo</w:t>
      </w:r>
      <w:proofErr w:type="gramEnd"/>
      <w:r w:rsidRPr="00BE39F9">
        <w:rPr>
          <w:rFonts w:ascii="inherit" w:eastAsia="Times New Roman" w:hAnsi="inherit" w:cs="Helvetica"/>
          <w:color w:val="333333"/>
          <w:sz w:val="27"/>
          <w:szCs w:val="27"/>
        </w:rPr>
        <w:t xml:space="preserve"> u kapitalu koji imaju;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(3) </w:t>
      </w:r>
      <w:proofErr w:type="gramStart"/>
      <w:r w:rsidRPr="00BE39F9">
        <w:rPr>
          <w:rFonts w:ascii="inherit" w:eastAsia="Times New Roman" w:hAnsi="inherit" w:cs="Helvetica"/>
          <w:color w:val="333333"/>
          <w:sz w:val="27"/>
          <w:szCs w:val="27"/>
        </w:rPr>
        <w:t>iznos</w:t>
      </w:r>
      <w:proofErr w:type="gramEnd"/>
      <w:r w:rsidRPr="00BE39F9">
        <w:rPr>
          <w:rFonts w:ascii="inherit" w:eastAsia="Times New Roman" w:hAnsi="inherit" w:cs="Helvetica"/>
          <w:color w:val="333333"/>
          <w:sz w:val="27"/>
          <w:szCs w:val="27"/>
        </w:rPr>
        <w:t xml:space="preserve"> kapitala i rezervi i dobitak ili gubitak u poslednjem izveštajnom periodu tog pravnog lica za koji je usvojen finansijski izveštaj.</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Pravno lice ne mora da obelodani informacije iz stava 2.</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ovog</w:t>
      </w:r>
      <w:proofErr w:type="gramEnd"/>
      <w:r w:rsidRPr="00BE39F9">
        <w:rPr>
          <w:rFonts w:ascii="inherit" w:eastAsia="Times New Roman" w:hAnsi="inherit" w:cs="Helvetica"/>
          <w:color w:val="333333"/>
          <w:sz w:val="27"/>
          <w:szCs w:val="27"/>
        </w:rPr>
        <w:t xml:space="preserve"> člana u slučaju kada bi njihovo obelodanjivanje nanelo značajnu štetu tom pravnom licu.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Pravno lice je dužno da u konsolidovanim napomenama uz finansijske izveštaje obelodani informaciju da je iskoristilo pravo iz stava 3.</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ovog</w:t>
      </w:r>
      <w:proofErr w:type="gramEnd"/>
      <w:r w:rsidRPr="00BE39F9">
        <w:rPr>
          <w:rFonts w:ascii="inherit" w:eastAsia="Times New Roman" w:hAnsi="inherit" w:cs="Helvetica"/>
          <w:color w:val="333333"/>
          <w:sz w:val="27"/>
          <w:szCs w:val="27"/>
        </w:rPr>
        <w:t xml:space="preserve"> člana.</w:t>
      </w:r>
    </w:p>
    <w:p w:rsidR="00BE39F9" w:rsidRPr="00BE39F9" w:rsidRDefault="00BE39F9" w:rsidP="00BE39F9">
      <w:pPr>
        <w:shd w:val="clear" w:color="auto" w:fill="FFFFFF"/>
        <w:spacing w:after="0" w:line="240" w:lineRule="auto"/>
        <w:textAlignment w:val="baseline"/>
        <w:outlineLvl w:val="2"/>
        <w:rPr>
          <w:rFonts w:ascii="Helvetica" w:eastAsia="Times New Roman" w:hAnsi="Helvetica" w:cs="Helvetica"/>
          <w:b/>
          <w:bCs/>
          <w:color w:val="D23232"/>
          <w:sz w:val="36"/>
          <w:szCs w:val="36"/>
        </w:rPr>
      </w:pPr>
      <w:r w:rsidRPr="00BE39F9">
        <w:rPr>
          <w:rFonts w:ascii="inherit" w:eastAsia="Times New Roman" w:hAnsi="inherit" w:cs="Helvetica"/>
          <w:b/>
          <w:bCs/>
          <w:color w:val="D23232"/>
          <w:sz w:val="36"/>
          <w:szCs w:val="36"/>
          <w:bdr w:val="none" w:sz="0" w:space="0" w:color="auto" w:frame="1"/>
        </w:rPr>
        <w:t>VII. SADRŽAJ STATISTIČKOG IZVEŠTAJA</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34.</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U Statističkom izveštaju, pravno lice i preduzetnik unose podatke u sve tabele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I do XIII (Prilog 6), na sve pozicije osim AOP 9125 – Lična primanja preduzetnika iz neto dobitka, na kojoj podatke iskazuje samo preduzetnik.</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Podaci se unose u sve predviđene kolone prema sadržini grupa računa i računa označenih u tabeli.</w:t>
      </w:r>
      <w:proofErr w:type="gramEnd"/>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35.</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U tabelu I – OPŠTI PODACI O PRAVNOM LICU I PREDUZETNIKU, pod oznakom AOP 9001 – Broj meseci poslovanja, unosi se broj meseci poslovanja u kalendarskoj godini, kao ceo broj u intervalu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1 do 12. </w:t>
      </w:r>
      <w:proofErr w:type="gramStart"/>
      <w:r w:rsidRPr="00BE39F9">
        <w:rPr>
          <w:rFonts w:ascii="inherit" w:eastAsia="Times New Roman" w:hAnsi="inherit" w:cs="Helvetica"/>
          <w:color w:val="333333"/>
          <w:sz w:val="27"/>
          <w:szCs w:val="27"/>
        </w:rPr>
        <w:t>Novoosnovano pravno lice i preduzetnik ne popunjavaju kolonu 4.</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9002 – Oznaka za vlasništvo, unosi se statistička oznaka za vlasništvo prema sledećem: 1 za društveno, 2 za privatno, 3 za zadružno, 4 za mešovito (dva </w:t>
      </w:r>
      <w:proofErr w:type="gramStart"/>
      <w:r w:rsidRPr="00BE39F9">
        <w:rPr>
          <w:rFonts w:ascii="inherit" w:eastAsia="Times New Roman" w:hAnsi="inherit" w:cs="Helvetica"/>
          <w:color w:val="333333"/>
          <w:sz w:val="27"/>
          <w:szCs w:val="27"/>
        </w:rPr>
        <w:t>ili</w:t>
      </w:r>
      <w:proofErr w:type="gramEnd"/>
      <w:r w:rsidRPr="00BE39F9">
        <w:rPr>
          <w:rFonts w:ascii="inherit" w:eastAsia="Times New Roman" w:hAnsi="inherit" w:cs="Helvetica"/>
          <w:color w:val="333333"/>
          <w:sz w:val="27"/>
          <w:szCs w:val="27"/>
        </w:rPr>
        <w:t xml:space="preserve"> više oblika vlasništva) i 5 za državno vlasništvo. </w:t>
      </w:r>
      <w:proofErr w:type="gramStart"/>
      <w:r w:rsidRPr="00BE39F9">
        <w:rPr>
          <w:rFonts w:ascii="inherit" w:eastAsia="Times New Roman" w:hAnsi="inherit" w:cs="Helvetica"/>
          <w:color w:val="333333"/>
          <w:sz w:val="27"/>
          <w:szCs w:val="27"/>
        </w:rPr>
        <w:t>Preduzetnici unose oznaku 2.</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9003 – Broj stranih (pravnih </w:t>
      </w:r>
      <w:proofErr w:type="gramStart"/>
      <w:r w:rsidRPr="00BE39F9">
        <w:rPr>
          <w:rFonts w:ascii="inherit" w:eastAsia="Times New Roman" w:hAnsi="inherit" w:cs="Helvetica"/>
          <w:color w:val="333333"/>
          <w:sz w:val="27"/>
          <w:szCs w:val="27"/>
        </w:rPr>
        <w:t>ili</w:t>
      </w:r>
      <w:proofErr w:type="gramEnd"/>
      <w:r w:rsidRPr="00BE39F9">
        <w:rPr>
          <w:rFonts w:ascii="inherit" w:eastAsia="Times New Roman" w:hAnsi="inherit" w:cs="Helvetica"/>
          <w:color w:val="333333"/>
          <w:sz w:val="27"/>
          <w:szCs w:val="27"/>
        </w:rPr>
        <w:t xml:space="preserve"> fizičkih) lica koja imaju učešće u kapitalu, unosi se broj pravnih ili fizičkih lica sa sedištem u inostranstvu koja imaju učešće, udele ili uloge u osnovnom kapitalu pravnog lica. </w:t>
      </w:r>
      <w:proofErr w:type="gramStart"/>
      <w:r w:rsidRPr="00BE39F9">
        <w:rPr>
          <w:rFonts w:ascii="inherit" w:eastAsia="Times New Roman" w:hAnsi="inherit" w:cs="Helvetica"/>
          <w:color w:val="333333"/>
          <w:sz w:val="27"/>
          <w:szCs w:val="27"/>
        </w:rPr>
        <w:t>Preduzetnik ne popunjava ovu poziciju.</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9004 – Broj stranih (pravnih ili fizičkih) lica čije je učešće u kapitalu 10% ili više od 10%, unosi se broj pravnih ili fizičkih lica sa sedištem u inostranstvu čije učešće, udeli ili ulozi u osnovnom kapitalu pravnog lica čine 10% ili više od 10% osnovnog kapitala. </w:t>
      </w:r>
      <w:proofErr w:type="gramStart"/>
      <w:r w:rsidRPr="00BE39F9">
        <w:rPr>
          <w:rFonts w:ascii="inherit" w:eastAsia="Times New Roman" w:hAnsi="inherit" w:cs="Helvetica"/>
          <w:color w:val="333333"/>
          <w:sz w:val="27"/>
          <w:szCs w:val="27"/>
        </w:rPr>
        <w:t>Preduzetnik ne popunjava ovu poziciju.</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9005 – Prosečan broj zaposlenih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osnovu stanja krajem svakog meseca, u kolonu 3 unosi se podatak utvrđen kao godišnji prosek brojčanog stanja zaposlenih na kraju svakog meseca u izveštajnoj godini, a u kolonu 4 broj zaposlenih u prethodnoj godini utvrđen na isti način. Godišnji prosek predstavlja zbir zaposlenih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kraju svakog meseca u toku obračunskog perioda, podeljen brojem meseci poslovanja. Broj zaposlenih iskazuje se kao </w:t>
      </w:r>
      <w:proofErr w:type="gramStart"/>
      <w:r w:rsidRPr="00BE39F9">
        <w:rPr>
          <w:rFonts w:ascii="inherit" w:eastAsia="Times New Roman" w:hAnsi="inherit" w:cs="Helvetica"/>
          <w:color w:val="333333"/>
          <w:sz w:val="27"/>
          <w:szCs w:val="27"/>
        </w:rPr>
        <w:t>ceo broj</w:t>
      </w:r>
      <w:proofErr w:type="gramEnd"/>
      <w:r w:rsidRPr="00BE39F9">
        <w:rPr>
          <w:rFonts w:ascii="inherit" w:eastAsia="Times New Roman" w:hAnsi="inherit" w:cs="Helvetica"/>
          <w:color w:val="333333"/>
          <w:sz w:val="27"/>
          <w:szCs w:val="27"/>
        </w:rPr>
        <w:t>, bez decimala.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9006 – Prosečan broj zaposlenih preko agencija i organizacija za zapošljavanje (omladinske i studentske zadruge) na osnovu stanja krajem svakog meseca, u kolonu 3 unosi se podatak utvrđen kao prosek brojčanog stanja zaposlenih na kraju svakog meseca u izveštajnoj godini, a u kolonu 4 broj zaposlenih u prethodnoj godini utvrđen na isti način. Godišnji prosek predstavlja zbir zaposlenih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kraju svakog meseca u toku obračunskog perioda, podeljen brojem meseci poslovanja. Broj zaposlenih iskazuje se kao </w:t>
      </w:r>
      <w:proofErr w:type="gramStart"/>
      <w:r w:rsidRPr="00BE39F9">
        <w:rPr>
          <w:rFonts w:ascii="inherit" w:eastAsia="Times New Roman" w:hAnsi="inherit" w:cs="Helvetica"/>
          <w:color w:val="333333"/>
          <w:sz w:val="27"/>
          <w:szCs w:val="27"/>
        </w:rPr>
        <w:t>ceo broj</w:t>
      </w:r>
      <w:proofErr w:type="gramEnd"/>
      <w:r w:rsidRPr="00BE39F9">
        <w:rPr>
          <w:rFonts w:ascii="inherit" w:eastAsia="Times New Roman" w:hAnsi="inherit" w:cs="Helvetica"/>
          <w:color w:val="333333"/>
          <w:sz w:val="27"/>
          <w:szCs w:val="27"/>
        </w:rPr>
        <w:t>, bez decimala.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9007 – Prosečan broj volontera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osnovu stanja krajem svakog meseca (ceo broj) u kolonu 3 unosi se podatak utvrđen kao prosek brojčanog stanja volontera na kraju svakog meseca u izveštajnoj godini, a u kolonu 4 broj volontera u prethodnoj godini utvrđen na isti način. Godišnji prosek predstavlja zbir volontera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kraju svakog meseca u toku obračunskog perioda, podeljen brojem meseci poslovanja. Broj volontera iskazuje se kao </w:t>
      </w:r>
      <w:proofErr w:type="gramStart"/>
      <w:r w:rsidRPr="00BE39F9">
        <w:rPr>
          <w:rFonts w:ascii="inherit" w:eastAsia="Times New Roman" w:hAnsi="inherit" w:cs="Helvetica"/>
          <w:color w:val="333333"/>
          <w:sz w:val="27"/>
          <w:szCs w:val="27"/>
        </w:rPr>
        <w:t>ceo broj</w:t>
      </w:r>
      <w:proofErr w:type="gramEnd"/>
      <w:r w:rsidRPr="00BE39F9">
        <w:rPr>
          <w:rFonts w:ascii="inherit" w:eastAsia="Times New Roman" w:hAnsi="inherit" w:cs="Helvetica"/>
          <w:color w:val="333333"/>
          <w:sz w:val="27"/>
          <w:szCs w:val="27"/>
        </w:rPr>
        <w:t>, bez decimala.</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36.</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U tabelu II – BRUTO PROMENE NEMATERIJALNE IMOVINE I NEKRETNINA, POSTROJENJA, OPREME I BIOLOŠKIH SREDSTAVA, pod oznakama AOP 9008 do 9037 unose se podaci sa odgovarajuće grupe računa 01, 02 i 03, i to: stanje na početku godine, promene u toku godine (nabavke, povećanja, smanjenja i revalorizacije), amortizacija i obezvređenje i stanje na kraju godine, tako što se u kolonu 4 unose bruto vrednosti, u kolonu 5 ispravka vrednosti, a u kolonu 6 neto vrednosti. Podaci uneti u kolonu 6 (neto vrednosti) odgovaraju podacima iz Bilansa stanja, i to: za oznaku AOP 9008 kolona 6 = AOP 0003 kolona 6, AOP 9015 kolona 6 = AOP 0003 kolona 5, AOP 9016 i AOP 9023 kolona 6 = AOP 0009 kolona 6, AOP 9022 i AOP 9030 kolona 6 = AOP 0009 kolona 5, AOP 9031 kolona 6 = AOP 0017 kolona 6, AOP 9037 kolona 6 = AOP 0017 kolona 5.</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37.</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U tabelu III – STRUKTURA ZALIHA, pod oznakama AOP 9038 do 9043 unose se podaci sa odgovarajućih grupa računa 10, 11, 12, 13, 14 i 15. Pod oznakom AOP 9044 – Svega, unosi se iznos ukupnih zaliha koji odgovara podacima unetim u Bilans stanja na oznakama AOP 0031 i AOP 0037, kolona 5 za tekuću, odnosno kolona 6 za prethodnu godinu.</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38.</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U tabelu IV – STRUKTURA OSNOVNOG KAPITALA, pod oznakama AOP 9045, 9047, 9049, 9051 do 9056 unosi se stanje računa 300 do 309, a pod oznakama AOP 9046, 9048 i 9050 unosi se deo koji se odnosi na iznos stranog kapitala. Pod oznakom AOP 9057 – Svega, unosi se iznos osnovnog kapitala koji odgovara podatku unetom u Bilans stanja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oznaci AOP 0402 i AOP 0404, kolona 5 za tekuću, odnosno kolona 6 za prethodnu godinu.</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39.</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U tabelu V – STRUKTURA AKCIJSKOG KAPITALA, pod oznakama AOP 9058 i 9060 unosi se apsolutni broj običnih, odnosno prioritetnih akcija na kraju tekuće (kolona 4) i prethodne godine (kolona 5). </w:t>
      </w:r>
      <w:proofErr w:type="gramStart"/>
      <w:r w:rsidRPr="00BE39F9">
        <w:rPr>
          <w:rFonts w:ascii="inherit" w:eastAsia="Times New Roman" w:hAnsi="inherit" w:cs="Helvetica"/>
          <w:color w:val="333333"/>
          <w:sz w:val="27"/>
          <w:szCs w:val="27"/>
        </w:rPr>
        <w:t>Pod oznakama AOP 9059 i 9061 unosi se nominalna vrednost običnih, odnosno prioritetnih akcija, dobijena množenjem broja akcija i nominalne vrednosti po jednoj akciji.</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 oznakom AOP 9062 – Svega, unosi se ukupna nominalna vrednost akcija koja je jednaka iznosu akcijskog kapitala pod oznakom AOP 9045.</w:t>
      </w:r>
      <w:proofErr w:type="gramEnd"/>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40.</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U tabelu VI – STRUKTURA ISPLAĆENIH DIVIDENDI I UČEŠĆA U DOBITKU, PO SEKTORIMA, pod oznakama AOP 9063 do 9070 unosi se iznos isplaćenih dividendi (odnosno učešća u dobitku) po sektorima: privredna društva (domaća pravna lica); fizička lica; država i institucije i organizacije koje se finansiraju iz budžeta; finansijske institucije; neprofitne organizacije, fondacije i fondovi neprofitnog karaktera; strana fizička lica; strana pravna lica; evropske finansijske i razvojne institucije. Pod oznakom AOP 9071 – Svega, unosi se ukupan iznos isplaćenih dividendi koji odgovara podatku unetom u Izveštaj o tokovima gotovine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oznaci AOP 3045, kolona 3 za tekuću, odnosno kolona 4 za prethodnu godinu.</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41.</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U tabelu VII – POTRAŽIVANJA I OBAVEZE, pod oznakom AOP 9072 – Potraživanja u toku godine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društava za osiguranje za naknadu štete, unosi se ukupna vrednost odštetnih zahteva po osnovu naknada šteta od društava za osiguranje u toku godine (povećanje – dugovni promet bez početnog stanja računa 226, u delu koji se odnosi na potraživanja od društava za osiguranje).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9073 – Obaveze iz poslovanja (potražni promet bez početnog stanja), unose se podaci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grupe računa 43.</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oznakama AOP 9074 do 9076 – Obaveze za neto zarade i naknade zarada, porez i doprinose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zarade i naknade zarada, unosi se ukupan godišnji iznos prema obračunu zarada – povećanje u toku godine (potražni promet bez početnog stanja) sa računa 450, 451 i 452.</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9077 – Obaveze prema fizičkim licima za naknade po ugovorima, unosi se povećanje u toku godine (potražni promet bez početnog stanja) obaveza za naknade fizičkim licima po osnovu ugovora o delu, autorstvu, privremenim i povremenim poslovima, zastupanju i posredovanju, dopunskom radu i drugih ugovora uz naknadu.</w:t>
      </w:r>
      <w:proofErr w:type="gramEnd"/>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42.</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U tabelu VIII – DRUGI TROŠKOVI I RASHODI, unose se podaci u kolone 4 i 5 prema sadržini računa označenih u koloni 1.</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9079 – Troškovi goriva i energije, unose se podaci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računa 513.</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9080 – Troškovi zarada i naknada zarada (bruto), unose se podaci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računa 520.</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9081 – Troškovi poreza i doprinosa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zarade i naknade zarada na teret poslodavca, unose se podaci sa računa 521.</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9082 – Troškovi naknada fizičkim licima (bruto) po osnovu ugovora, unosi se zbir stanja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računima 522 – Troškovi naknada po ugovoru o delu, 523 – Troškovi naknada po autorskim ugovorima i 525 – Troškovi naknada fizičkim licima po osnovu ostalih ugovora.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9083 – Troškovi naknada po ugovoru o privremenim i povremenim poslovima zaključenim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fizičkim licem, unosi se podatak sa računa 524.</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9084 – Troškovi naknada direktoru, odnosno članovima organa upravljanja i nadzora, unosi se podatak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računa 526.</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9085 – Troškovi angažovanja zaposlenih preko agencija i zadruga, unosi se podatak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računa 528.</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Pod oznakom AOP 9086 do 9088 iskazuju se podaci sa računa 529, u delu koji se odnosi na naknade troškova zaposlenima, ostala davanja zaposlenima i lična primanja koja se ne smatraju zaradom – otpremnine, jubilarne nagrade, pomoć zaposlenom, stipendije i dr, kao i naknade troškova i druga davanja poslodavcima i drugim fizičkim licima koja nisu zaposlena.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9089 – Troškovi zakupnina, unosi se godišnji iznos zakupnina po osnovu ugovora o zakupu osnovnih sredstava: opreme, poslovnog, skladišnog, kancelarijskog i drugog prostora, zemljišta i sl., bez obzira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to da li je zakupodavac pravno ili fizičko lice. Ova pozicija trebalo bi da odgovara zbiru konačnog stanja računa 533 – Troškovi zakupnina i analitičkog računa u okviru računa 525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kojem se knjiže troškovi naknada fizičkim licima po osnovu drugih ugovora (ugovora o zakupu kada je zakupodavac fizičko lice i dr.), i dela grupe računa 54 (Troškovi amortizacije i rezervisanja) prema godišnjem zaključku poslovnih knjiga.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9090 – Troškovi zakupnina zemljišta, unosi se godišnji iznos zakupnine za zemljište uzeto u zakup prema ugovoru o zakupu.</w:t>
      </w:r>
      <w:proofErr w:type="gramEnd"/>
      <w:r w:rsidRPr="00BE39F9">
        <w:rPr>
          <w:rFonts w:ascii="inherit" w:eastAsia="Times New Roman" w:hAnsi="inherit" w:cs="Helvetica"/>
          <w:color w:val="333333"/>
          <w:sz w:val="27"/>
          <w:szCs w:val="27"/>
        </w:rPr>
        <w:t xml:space="preserve"> Ova pozicija odgovara zbiru konačnog stanja analitičkog računa u okviru računa 533 na kojem se knjiži zakupnina zemljišta pravnih lica i preduzetnika i analitičkog računa u okviru računa 525 na kojem se knjiže troškovi naknada fizičkim licima po osnovu drugih ugovora (ugovora o zakupu kada je zakupodavac fizičko lice i dr.), u delu koji se odnosi na zakup zemljišta, i dela grupe računa 54 (Troškovi amortizacije i rezervisanja) prema godišnjem zaključku poslovnih knjiga.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Pod oznakom AOP 9097 – Rashodi za humanitarne, naučne, verske, kulturne, zdravstvene, obrazovne i za sportske namene, kao i za zaštitu čovekove sredine, unosi se godišnji iznos izdataka za navedene svrhe proknjižen na računima otvorenim u okviru računa 579, i to na računima na kojima se knjiže izdaci za humanitarne, kulturne, zdravstvene, obrazovne, naučne i verske namene, za zaštitu čovekove sredine i za sportske namene, kao i na računu na kojem se knjiže davanja u novčanom iznosu ili naturalnom obliku pravnim licima i preduzetnicima radi ublažavanja posledica elementarnih nepogoda ili drugih vanrednih događaja.</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43.</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U tabelu IX RASHODI KAMATA unose se podaci u kolone 4 i 5 prema sadržini računa označenih u koloni 1.</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9099 do AOP 9104 Kamate o kreditima i zajmovima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poslovnih banaka, kamate po osnovu finansijskog lizinga, kamate po osnovu zajmova od drugih nebankarskih entiteta i zajmodavaca, kamate po osnovu hartija od vrednosti i zatezne kamate, unosi se godišnji izdatak za navedene svrhe iskazana na računima u okviru grupe 56.</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44.</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U tabelu X – DRUGI PRIHODI, unose se podaci u kolone 4 i 5 prema sadržini računa označenih u koloni 1.</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9110 – Prihodi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članarina, unose se prihodi od članarine poslovnih i drugih udruženja proknjiženi na računu 651.</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9111 – Prihodi po osnovu dividendi i učešća u dobitku, unosi se godišnji iznos prihoda po osnovu dividendi i učešća u dobitku proknjižen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računu 669. Pored navedenog, unose se i prihodi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dividendi i učešća u dobitku ostvarenom u odnosu sa matičnim, zavisnim i ostalim povezanim pravnim licima koja se evidentiraju na računima 660 i 661.</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45.</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U tabelu XI – PRIHODI OD KAMATA unose se podaci u kolone 4 i 5 prema sadržni računa označenih u koloni 1.</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9113 do AOP 9117 unose se prihodi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kamata po datim kreditima, po računima i depozitima u bankama i drugim finansijskim institucijama, prihodi od kamata po osniovu hartija od vrednosti zateznim i drugim kamatama evidentiranim na računu 662, kao i evidentiranim na računima 660 i 661.</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46.</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U tabelu XII – OSTALI PODACI, pod oznakom AOP 9119 – Obaveze za akcize (prema godišnjem obračunu akciza), unosi se ukupan godišnji iznos obračunatih akciza prema godišnjem obračunu i poreskoj prijavi.</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9120 – Obračunate carine i druge uvozne dažbine, unosi se ukupan godišnji iznos obračunatih carina i drugih uvoznih dažbina prema carinskoj i drugoj dokumentaciji u vezi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uvozom.</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9121 – Kapitalne subvencije i druga državna dodeljivanja za izgradnju i nabavku osnovnih sredstava i nematerijalne imovine, unose se državna dodeljivanja namenjena za izgradnju i nabavku osnovnih sredstava (poslovni prostor i zgrade, oprema, vozila i ostalo), primljena osnovna sredstva bez naknade, kao i državna pomoć za rekonstrukciju, modernizaciju i druga unapređenja osnovnih sredstava.</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Takođe, unosi se i otpis dugova po osnovu poreza i doprinosa, kao i priliv sredstava u cilju pokrića gubitaka kumuliranih tokom više poslovnih godina.</w:t>
      </w:r>
      <w:proofErr w:type="gramEnd"/>
      <w:r w:rsidRPr="00BE39F9">
        <w:rPr>
          <w:rFonts w:ascii="inherit" w:eastAsia="Times New Roman" w:hAnsi="inherit" w:cs="Helvetica"/>
          <w:color w:val="333333"/>
          <w:sz w:val="27"/>
          <w:szCs w:val="27"/>
        </w:rPr>
        <w:t xml:space="preserve"> Obuhvata se i državna pomoć u cilju nadoknade štete i pokrića gubitaka nastalih kao posledica prirodnih nepogoda i drugih vanrednih okolnosti (deo grupe računa 64 koji se odnosi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pomoć države i njenih organa i fondova). </w:t>
      </w:r>
      <w:proofErr w:type="gramStart"/>
      <w:r w:rsidRPr="00BE39F9">
        <w:rPr>
          <w:rFonts w:ascii="inherit" w:eastAsia="Times New Roman" w:hAnsi="inherit" w:cs="Helvetica"/>
          <w:color w:val="333333"/>
          <w:sz w:val="27"/>
          <w:szCs w:val="27"/>
        </w:rPr>
        <w:t>Na ovoj poziciji unosi se ukupan (bruto) iznos novoprimljenih sredstava u toku godine po osnovu državnih dodeljivanja za nabavku i izgradnju osnovnih sredstava i nematerijalne imovine.</w:t>
      </w:r>
      <w:proofErr w:type="gramEnd"/>
      <w:r w:rsidRPr="00BE39F9">
        <w:rPr>
          <w:rFonts w:ascii="inherit" w:eastAsia="Times New Roman" w:hAnsi="inherit" w:cs="Helvetica"/>
          <w:color w:val="333333"/>
          <w:sz w:val="27"/>
          <w:szCs w:val="27"/>
        </w:rPr>
        <w:t xml:space="preserve"> Unosi se isključivo iznos novih državnih dodeljivanja primljenih u toku godine u bruto iznosu (u slučaju da je izvršeno vremensko razgraničenje primljenih državnih dodeljivanja preko računa 495, neophodno je prikazati ukupan (bruto) iznos primljenog dodeljivanja, odnosno donacije u toku godine, a ne godišnji deo koji se prenosi sa računa 495 na račune grupe 64). </w:t>
      </w:r>
      <w:proofErr w:type="gramStart"/>
      <w:r w:rsidRPr="00BE39F9">
        <w:rPr>
          <w:rFonts w:ascii="inherit" w:eastAsia="Times New Roman" w:hAnsi="inherit" w:cs="Helvetica"/>
          <w:color w:val="333333"/>
          <w:sz w:val="27"/>
          <w:szCs w:val="27"/>
        </w:rPr>
        <w:t>Ukidanje odloženih prihoda po osnovu dodeljivanja iz prethodnih godina se isključuje.</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9122 – Državna dodeljivanja za premije, regres i pokriće tekućih troškova poslovanja, unose se državna dodeljivanja u vidu premija, regresa, dodeljivanja za pokriće tekućih troškova poslovanja i poslovnih gubitaka, odnosno samo ona dodeljivanja koja su neposredno vezana za proizvodnju proizvoda i usluga i koja se primaju po osnovu količine </w:t>
      </w:r>
      <w:proofErr w:type="gramStart"/>
      <w:r w:rsidRPr="00BE39F9">
        <w:rPr>
          <w:rFonts w:ascii="inherit" w:eastAsia="Times New Roman" w:hAnsi="inherit" w:cs="Helvetica"/>
          <w:color w:val="333333"/>
          <w:sz w:val="27"/>
          <w:szCs w:val="27"/>
        </w:rPr>
        <w:t>ili</w:t>
      </w:r>
      <w:proofErr w:type="gramEnd"/>
      <w:r w:rsidRPr="00BE39F9">
        <w:rPr>
          <w:rFonts w:ascii="inherit" w:eastAsia="Times New Roman" w:hAnsi="inherit" w:cs="Helvetica"/>
          <w:color w:val="333333"/>
          <w:sz w:val="27"/>
          <w:szCs w:val="27"/>
        </w:rPr>
        <w:t xml:space="preserve"> vrednosti ostvarene proizvodnje.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9123 – Ostala državna dodeljivanja, unose se svi prethodno nepomenuti vidovi državne pomoći u novcu </w:t>
      </w:r>
      <w:proofErr w:type="gramStart"/>
      <w:r w:rsidRPr="00BE39F9">
        <w:rPr>
          <w:rFonts w:ascii="inherit" w:eastAsia="Times New Roman" w:hAnsi="inherit" w:cs="Helvetica"/>
          <w:color w:val="333333"/>
          <w:sz w:val="27"/>
          <w:szCs w:val="27"/>
        </w:rPr>
        <w:t>ili</w:t>
      </w:r>
      <w:proofErr w:type="gramEnd"/>
      <w:r w:rsidRPr="00BE39F9">
        <w:rPr>
          <w:rFonts w:ascii="inherit" w:eastAsia="Times New Roman" w:hAnsi="inherit" w:cs="Helvetica"/>
          <w:color w:val="333333"/>
          <w:sz w:val="27"/>
          <w:szCs w:val="27"/>
        </w:rPr>
        <w:t xml:space="preserve"> naturi. Obuhvataju se primanja bez uslovljene namene i bez direktne veze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proizvodnjom proizvoda i usluga, kao što su dotacije za novozaposlena lica, za zaštitu čovekove okoline i ugradnju odgovarajuće opreme, za istraživanje i razvoj, povraćaj poreskih dažbina po osnovu izvoza proizvoda i usluga i sl.</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9124 – Primljene donacije iz inostranstva i druga bespovratna sredstva u novcu </w:t>
      </w:r>
      <w:proofErr w:type="gramStart"/>
      <w:r w:rsidRPr="00BE39F9">
        <w:rPr>
          <w:rFonts w:ascii="inherit" w:eastAsia="Times New Roman" w:hAnsi="inherit" w:cs="Helvetica"/>
          <w:color w:val="333333"/>
          <w:sz w:val="27"/>
          <w:szCs w:val="27"/>
        </w:rPr>
        <w:t>ili</w:t>
      </w:r>
      <w:proofErr w:type="gramEnd"/>
      <w:r w:rsidRPr="00BE39F9">
        <w:rPr>
          <w:rFonts w:ascii="inherit" w:eastAsia="Times New Roman" w:hAnsi="inherit" w:cs="Helvetica"/>
          <w:color w:val="333333"/>
          <w:sz w:val="27"/>
          <w:szCs w:val="27"/>
        </w:rPr>
        <w:t xml:space="preserve"> naturi od inostranih pravnih i fizičkih lica, unose se donacije i sva ostala bespovratna sredstva iz inostranstva primljena u toku godine u bruto iznosu (u novcu ili naturi). Obuhvataju se ne samo prihodi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uslovljenih donacija (deo grupe računa 64), već i donacije za koje ugovorom nije predviđen uslov niti namena i koje se knjiže u korist ostalih prihoda, kao i prihodi od naknada šteta od katastrofa i drugih nepredviđenih događaja (deo računa 679). </w:t>
      </w:r>
      <w:proofErr w:type="gramStart"/>
      <w:r w:rsidRPr="00BE39F9">
        <w:rPr>
          <w:rFonts w:ascii="inherit" w:eastAsia="Times New Roman" w:hAnsi="inherit" w:cs="Helvetica"/>
          <w:color w:val="333333"/>
          <w:sz w:val="27"/>
          <w:szCs w:val="27"/>
        </w:rPr>
        <w:t>Ukidanje odloženih prihoda po osnovu donacija iz prethodnih godina se isključuje.</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9125 – Lična primanja preduzetnika iz neto dobitka, unosi se deo neraspoređenog neto dobitka preduzetnika iz ranijih godina (smanjenje računa 340) koji je preduzetnik podigao u gotovini za sopstvene potrebe u toku godine.</w:t>
      </w:r>
      <w:proofErr w:type="gramEnd"/>
      <w:r w:rsidRPr="00BE39F9">
        <w:rPr>
          <w:rFonts w:ascii="inherit" w:eastAsia="Times New Roman" w:hAnsi="inherit" w:cs="Helvetica"/>
          <w:color w:val="333333"/>
          <w:sz w:val="27"/>
          <w:szCs w:val="27"/>
        </w:rPr>
        <w:t xml:space="preserve"> Na ovoj poziciji se upisuju i iznosi gotovine koje je preduzetnik akontaciono podigao u toku godine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ime svog neto prihoda (račun 723 – Lična primanja poslodavca).</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47.</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U tabelu XIII – BRUTO POTRAŽIVANJA ZA DATE KREDITE I ZAJMOVE, PRODATE PROIZVODE, ROBU I USLUGE I DATE AVANSE I DRUGA POTRAŽIVANJA, unose se podaci koji se odnose na stanje na kraju godine tako što se u kolonu 4 unose bruto vrednosti, u kolonu 5 ispravke vrednosti, a u kolonu 6 neto vrednosti.</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oznakama AOP 9127 i 9128 unose se podaci o kratkoročnim i dugoročnim kreditima i zajmovima koji su dati fizičkim licima i preduzetnicima.</w:t>
      </w:r>
      <w:proofErr w:type="gramEnd"/>
      <w:r w:rsidRPr="00BE39F9">
        <w:rPr>
          <w:rFonts w:ascii="inherit" w:eastAsia="Times New Roman" w:hAnsi="inherit" w:cs="Helvetica"/>
          <w:color w:val="333333"/>
          <w:sz w:val="27"/>
          <w:szCs w:val="27"/>
        </w:rPr>
        <w:t xml:space="preserve"> Na ovim pozicijama unose se podaci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odgovarajućih računa koji su navedeni u tabelarnom pregledu.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9129 unose se podaci o prodatim proizvodima, robi i uslugama i datim avansima koji su razgraničeni i iskazani oznakama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AOP 9130 do AOP 9132. Na ovim pozicijama unose se podaci sa odgovarajućih računa koji su navedeni u tabelarnom pregledu, s tim što je potrebno razgraničiti potraživanja (prodati proizvodi, roba i usluge i dati avansi) na potraživanja prema fizičkim licima i preduzetnicima, državnim organima i institucijama, i organima i institucijama lokalne samouprave.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9133 unose se podaci o drugim potraživanjima koji su razgraničeni i iskazani oznakama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AOP 9134 do 9136. Na ovim pozicijama unose se podaci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odgovarajućih računa koji su navedeni u tabelarnom pregledu, s tim što je potrebno razgraničiti druga potraživanja na potraživanja prema fizičkim licima i preduzetnicima, državnim organima i institucijama, i organima i institucijama lokalne samouprave.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državnim organima i institucijama, u smislu ovog tabelarnog pregleda, podrazumevaju se republički organi i institucije, ministarstva i republičke agencije, regulatorna tela, razvojne agencije i fondovi, državni univerziteti i fakulteti, institucije i tela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nacionalnog značaja. U državne organe i institucije ne uključuju se fondovi socijalnog osiguranja (RFPIO, RFZO, NSZ, FSOVO), kao </w:t>
      </w:r>
      <w:proofErr w:type="gramStart"/>
      <w:r w:rsidRPr="00BE39F9">
        <w:rPr>
          <w:rFonts w:ascii="inherit" w:eastAsia="Times New Roman" w:hAnsi="inherit" w:cs="Helvetica"/>
          <w:color w:val="333333"/>
          <w:sz w:val="27"/>
          <w:szCs w:val="27"/>
        </w:rPr>
        <w:t>ni</w:t>
      </w:r>
      <w:proofErr w:type="gramEnd"/>
      <w:r w:rsidRPr="00BE39F9">
        <w:rPr>
          <w:rFonts w:ascii="inherit" w:eastAsia="Times New Roman" w:hAnsi="inherit" w:cs="Helvetica"/>
          <w:color w:val="333333"/>
          <w:sz w:val="27"/>
          <w:szCs w:val="27"/>
        </w:rPr>
        <w:t xml:space="preserve"> državne zdravstvene ustanove (domovi zdravlja, opšte i specijalne bolnice, kliničko-bolnički centri).</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organima i institucijama lokalne samouprave, u smislu ovog tabelarnog pregleda, podrazumevaju se pokrajinski, opštinski i gradski organi i institucije i druge organizacije i ustanove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nivou pokrajine, opštine i grada.</w:t>
      </w:r>
    </w:p>
    <w:p w:rsidR="00BE39F9" w:rsidRPr="00BE39F9" w:rsidRDefault="00BE39F9" w:rsidP="00BE39F9">
      <w:pPr>
        <w:shd w:val="clear" w:color="auto" w:fill="FFFFFF"/>
        <w:spacing w:after="0" w:line="240" w:lineRule="auto"/>
        <w:textAlignment w:val="baseline"/>
        <w:outlineLvl w:val="2"/>
        <w:rPr>
          <w:rFonts w:ascii="Helvetica" w:eastAsia="Times New Roman" w:hAnsi="Helvetica" w:cs="Helvetica"/>
          <w:b/>
          <w:bCs/>
          <w:color w:val="D23232"/>
          <w:sz w:val="36"/>
          <w:szCs w:val="36"/>
        </w:rPr>
      </w:pPr>
      <w:r w:rsidRPr="00BE39F9">
        <w:rPr>
          <w:rFonts w:ascii="inherit" w:eastAsia="Times New Roman" w:hAnsi="inherit" w:cs="Helvetica"/>
          <w:b/>
          <w:bCs/>
          <w:color w:val="D23232"/>
          <w:sz w:val="36"/>
          <w:szCs w:val="36"/>
          <w:bdr w:val="none" w:sz="0" w:space="0" w:color="auto" w:frame="1"/>
        </w:rPr>
        <w:t>VIII. PRELAZNE I ZAVRŠNE ODREDBE</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48.</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Odredbe ovog pravilnika primenjuju se počev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finansijskih izveštaja koji se sastavljaju na dan 31. </w:t>
      </w:r>
      <w:proofErr w:type="gramStart"/>
      <w:r w:rsidRPr="00BE39F9">
        <w:rPr>
          <w:rFonts w:ascii="inherit" w:eastAsia="Times New Roman" w:hAnsi="inherit" w:cs="Helvetica"/>
          <w:color w:val="333333"/>
          <w:sz w:val="27"/>
          <w:szCs w:val="27"/>
        </w:rPr>
        <w:t>decembra</w:t>
      </w:r>
      <w:proofErr w:type="gramEnd"/>
      <w:r w:rsidRPr="00BE39F9">
        <w:rPr>
          <w:rFonts w:ascii="inherit" w:eastAsia="Times New Roman" w:hAnsi="inherit" w:cs="Helvetica"/>
          <w:color w:val="333333"/>
          <w:sz w:val="27"/>
          <w:szCs w:val="27"/>
        </w:rPr>
        <w:t xml:space="preserve"> 2021. </w:t>
      </w:r>
      <w:proofErr w:type="gramStart"/>
      <w:r w:rsidRPr="00BE39F9">
        <w:rPr>
          <w:rFonts w:ascii="inherit" w:eastAsia="Times New Roman" w:hAnsi="inherit" w:cs="Helvetica"/>
          <w:color w:val="333333"/>
          <w:sz w:val="27"/>
          <w:szCs w:val="27"/>
        </w:rPr>
        <w:t>godine</w:t>
      </w:r>
      <w:proofErr w:type="gramEnd"/>
      <w:r w:rsidRPr="00BE39F9">
        <w:rPr>
          <w:rFonts w:ascii="inherit" w:eastAsia="Times New Roman" w:hAnsi="inherit" w:cs="Helvetica"/>
          <w:color w:val="333333"/>
          <w:sz w:val="27"/>
          <w:szCs w:val="27"/>
        </w:rPr>
        <w:t>.</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Danom početka primene ovog pravilnika prestaje da važi Pravilnik o sadržini i formi obrazaca finansijskih izveštaja za privredna društva, zadruge i preduzetnike („Službeni glasnik RS”, br. 95/14 i 144/14) i Pravilnik o obliku i sadržaju Statističkog izveštaja za privreda društva, zadruge i preduzetnike („Službeni glasnik RS”, broj 127/14).</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Pravna lica i preduzetnici koji imaju poslovnu godinu različitu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kalendarske, a koja se završava pre 31. </w:t>
      </w:r>
      <w:proofErr w:type="gramStart"/>
      <w:r w:rsidRPr="00BE39F9">
        <w:rPr>
          <w:rFonts w:ascii="inherit" w:eastAsia="Times New Roman" w:hAnsi="inherit" w:cs="Helvetica"/>
          <w:color w:val="333333"/>
          <w:sz w:val="27"/>
          <w:szCs w:val="27"/>
        </w:rPr>
        <w:t>decembra</w:t>
      </w:r>
      <w:proofErr w:type="gramEnd"/>
      <w:r w:rsidRPr="00BE39F9">
        <w:rPr>
          <w:rFonts w:ascii="inherit" w:eastAsia="Times New Roman" w:hAnsi="inherit" w:cs="Helvetica"/>
          <w:color w:val="333333"/>
          <w:sz w:val="27"/>
          <w:szCs w:val="27"/>
        </w:rPr>
        <w:t xml:space="preserve"> 2021. </w:t>
      </w:r>
      <w:proofErr w:type="gramStart"/>
      <w:r w:rsidRPr="00BE39F9">
        <w:rPr>
          <w:rFonts w:ascii="inherit" w:eastAsia="Times New Roman" w:hAnsi="inherit" w:cs="Helvetica"/>
          <w:color w:val="333333"/>
          <w:sz w:val="27"/>
          <w:szCs w:val="27"/>
        </w:rPr>
        <w:t>godine</w:t>
      </w:r>
      <w:proofErr w:type="gramEnd"/>
      <w:r w:rsidRPr="00BE39F9">
        <w:rPr>
          <w:rFonts w:ascii="inherit" w:eastAsia="Times New Roman" w:hAnsi="inherit" w:cs="Helvetica"/>
          <w:color w:val="333333"/>
          <w:sz w:val="27"/>
          <w:szCs w:val="27"/>
        </w:rPr>
        <w:t xml:space="preserve">, kao i pravna lica i preduzetnici koji sastavljaju vanredne finansijske izveštaje pre 31. </w:t>
      </w:r>
      <w:proofErr w:type="gramStart"/>
      <w:r w:rsidRPr="00BE39F9">
        <w:rPr>
          <w:rFonts w:ascii="inherit" w:eastAsia="Times New Roman" w:hAnsi="inherit" w:cs="Helvetica"/>
          <w:color w:val="333333"/>
          <w:sz w:val="27"/>
          <w:szCs w:val="27"/>
        </w:rPr>
        <w:t>decembra</w:t>
      </w:r>
      <w:proofErr w:type="gramEnd"/>
      <w:r w:rsidRPr="00BE39F9">
        <w:rPr>
          <w:rFonts w:ascii="inherit" w:eastAsia="Times New Roman" w:hAnsi="inherit" w:cs="Helvetica"/>
          <w:color w:val="333333"/>
          <w:sz w:val="27"/>
          <w:szCs w:val="27"/>
        </w:rPr>
        <w:t xml:space="preserve"> 2021. </w:t>
      </w:r>
      <w:proofErr w:type="gramStart"/>
      <w:r w:rsidRPr="00BE39F9">
        <w:rPr>
          <w:rFonts w:ascii="inherit" w:eastAsia="Times New Roman" w:hAnsi="inherit" w:cs="Helvetica"/>
          <w:color w:val="333333"/>
          <w:sz w:val="27"/>
          <w:szCs w:val="27"/>
        </w:rPr>
        <w:t>godine</w:t>
      </w:r>
      <w:proofErr w:type="gramEnd"/>
      <w:r w:rsidRPr="00BE39F9">
        <w:rPr>
          <w:rFonts w:ascii="inherit" w:eastAsia="Times New Roman" w:hAnsi="inherit" w:cs="Helvetica"/>
          <w:color w:val="333333"/>
          <w:sz w:val="27"/>
          <w:szCs w:val="27"/>
        </w:rPr>
        <w:t>, za tu poslovnu godinu, odnosno vanredne finansijske izveštaje, primenjuju Pravilnik o sadržini i formi obrazaca finansijskih izveštaja za privredna društva, zadruge i preduzetnike („Službeni glasnik RS”, br. 95/14 i 144/14) i Pravilnik o obliku i sadržaju Statističkog izveštaja za privreda društva, zadruge i preduzetnike („Službeni glasnik RS”, broj 127/14).</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49.</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Ovaj pravilnik stupa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snagu osmog dana od dana objavljivanja u „Službenom glasniku Republike Srbije”.</w:t>
      </w:r>
    </w:p>
    <w:p w:rsidR="00BE39F9" w:rsidRPr="00BE39F9" w:rsidRDefault="00BE39F9" w:rsidP="00BE39F9">
      <w:pPr>
        <w:shd w:val="clear" w:color="auto" w:fill="FFFFFF"/>
        <w:spacing w:after="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b/>
          <w:bCs/>
          <w:color w:val="333333"/>
          <w:sz w:val="27"/>
        </w:rPr>
        <w:t>PRILOZI</w:t>
      </w:r>
    </w:p>
    <w:p w:rsidR="00BE39F9" w:rsidRPr="00BE39F9" w:rsidRDefault="00BE39F9" w:rsidP="00BE39F9">
      <w:pPr>
        <w:shd w:val="clear" w:color="auto" w:fill="FFFFFF"/>
        <w:spacing w:after="0" w:line="240" w:lineRule="auto"/>
        <w:textAlignment w:val="baseline"/>
        <w:outlineLvl w:val="4"/>
        <w:rPr>
          <w:rFonts w:ascii="Helvetica" w:eastAsia="Times New Roman" w:hAnsi="Helvetica" w:cs="Helvetica"/>
          <w:b/>
          <w:bCs/>
          <w:color w:val="D23232"/>
          <w:sz w:val="30"/>
          <w:szCs w:val="30"/>
        </w:rPr>
      </w:pPr>
      <w:r w:rsidRPr="00BE39F9">
        <w:rPr>
          <w:rFonts w:ascii="inherit" w:eastAsia="Times New Roman" w:hAnsi="inherit" w:cs="Helvetica"/>
          <w:b/>
          <w:bCs/>
          <w:color w:val="D23232"/>
          <w:sz w:val="30"/>
          <w:szCs w:val="30"/>
          <w:bdr w:val="none" w:sz="0" w:space="0" w:color="auto" w:frame="1"/>
        </w:rPr>
        <w:t>Prilog 1 – </w:t>
      </w:r>
      <w:hyperlink r:id="rId5" w:tgtFrame="_blank" w:history="1">
        <w:r w:rsidRPr="00BE39F9">
          <w:rPr>
            <w:rFonts w:ascii="inherit" w:eastAsia="Times New Roman" w:hAnsi="inherit" w:cs="Helvetica"/>
            <w:b/>
            <w:bCs/>
            <w:color w:val="D23232"/>
            <w:sz w:val="30"/>
            <w:u w:val="single"/>
          </w:rPr>
          <w:t>Bilans stanja</w:t>
        </w:r>
      </w:hyperlink>
      <w:r w:rsidRPr="00BE39F9">
        <w:rPr>
          <w:rFonts w:ascii="inherit" w:eastAsia="Times New Roman" w:hAnsi="inherit" w:cs="Helvetica"/>
          <w:b/>
          <w:bCs/>
          <w:color w:val="D23232"/>
          <w:sz w:val="30"/>
          <w:szCs w:val="30"/>
          <w:bdr w:val="none" w:sz="0" w:space="0" w:color="auto" w:frame="1"/>
        </w:rPr>
        <w:t> </w:t>
      </w:r>
      <w:proofErr w:type="gramStart"/>
      <w:r w:rsidRPr="00BE39F9">
        <w:rPr>
          <w:rFonts w:ascii="inherit" w:eastAsia="Times New Roman" w:hAnsi="inherit" w:cs="Helvetica"/>
          <w:b/>
          <w:bCs/>
          <w:color w:val="D23232"/>
          <w:sz w:val="30"/>
          <w:szCs w:val="30"/>
          <w:bdr w:val="none" w:sz="0" w:space="0" w:color="auto" w:frame="1"/>
        </w:rPr>
        <w:t>na</w:t>
      </w:r>
      <w:proofErr w:type="gramEnd"/>
      <w:r w:rsidRPr="00BE39F9">
        <w:rPr>
          <w:rFonts w:ascii="inherit" w:eastAsia="Times New Roman" w:hAnsi="inherit" w:cs="Helvetica"/>
          <w:b/>
          <w:bCs/>
          <w:color w:val="D23232"/>
          <w:sz w:val="30"/>
          <w:szCs w:val="30"/>
          <w:bdr w:val="none" w:sz="0" w:space="0" w:color="auto" w:frame="1"/>
        </w:rPr>
        <w:t xml:space="preserve"> dan _____20__. </w:t>
      </w:r>
      <w:proofErr w:type="gramStart"/>
      <w:r w:rsidRPr="00BE39F9">
        <w:rPr>
          <w:rFonts w:ascii="inherit" w:eastAsia="Times New Roman" w:hAnsi="inherit" w:cs="Helvetica"/>
          <w:b/>
          <w:bCs/>
          <w:color w:val="D23232"/>
          <w:sz w:val="30"/>
          <w:szCs w:val="30"/>
          <w:bdr w:val="none" w:sz="0" w:space="0" w:color="auto" w:frame="1"/>
        </w:rPr>
        <w:t>godine</w:t>
      </w:r>
      <w:proofErr w:type="gramEnd"/>
    </w:p>
    <w:p w:rsidR="00BE39F9" w:rsidRPr="00BE39F9" w:rsidRDefault="00BE39F9" w:rsidP="00BE39F9">
      <w:pPr>
        <w:shd w:val="clear" w:color="auto" w:fill="FFFFFF"/>
        <w:spacing w:after="0" w:line="240" w:lineRule="auto"/>
        <w:textAlignment w:val="baseline"/>
        <w:outlineLvl w:val="4"/>
        <w:rPr>
          <w:rFonts w:ascii="Helvetica" w:eastAsia="Times New Roman" w:hAnsi="Helvetica" w:cs="Helvetica"/>
          <w:b/>
          <w:bCs/>
          <w:color w:val="D23232"/>
          <w:sz w:val="30"/>
          <w:szCs w:val="30"/>
        </w:rPr>
      </w:pPr>
      <w:r w:rsidRPr="00BE39F9">
        <w:rPr>
          <w:rFonts w:ascii="inherit" w:eastAsia="Times New Roman" w:hAnsi="inherit" w:cs="Helvetica"/>
          <w:b/>
          <w:bCs/>
          <w:color w:val="D23232"/>
          <w:sz w:val="30"/>
          <w:szCs w:val="30"/>
          <w:bdr w:val="none" w:sz="0" w:space="0" w:color="auto" w:frame="1"/>
        </w:rPr>
        <w:t>Prilog 2 – </w:t>
      </w:r>
      <w:hyperlink r:id="rId6" w:tgtFrame="_blank" w:history="1">
        <w:r w:rsidRPr="00BE39F9">
          <w:rPr>
            <w:rFonts w:ascii="inherit" w:eastAsia="Times New Roman" w:hAnsi="inherit" w:cs="Helvetica"/>
            <w:b/>
            <w:bCs/>
            <w:color w:val="D23232"/>
            <w:sz w:val="30"/>
            <w:u w:val="single"/>
          </w:rPr>
          <w:t>Bilans uspeha</w:t>
        </w:r>
      </w:hyperlink>
      <w:r w:rsidRPr="00BE39F9">
        <w:rPr>
          <w:rFonts w:ascii="inherit" w:eastAsia="Times New Roman" w:hAnsi="inherit" w:cs="Helvetica"/>
          <w:b/>
          <w:bCs/>
          <w:color w:val="D23232"/>
          <w:sz w:val="30"/>
          <w:szCs w:val="30"/>
          <w:bdr w:val="none" w:sz="0" w:space="0" w:color="auto" w:frame="1"/>
        </w:rPr>
        <w:t xml:space="preserve"> za period </w:t>
      </w:r>
      <w:proofErr w:type="gramStart"/>
      <w:r w:rsidRPr="00BE39F9">
        <w:rPr>
          <w:rFonts w:ascii="inherit" w:eastAsia="Times New Roman" w:hAnsi="inherit" w:cs="Helvetica"/>
          <w:b/>
          <w:bCs/>
          <w:color w:val="D23232"/>
          <w:sz w:val="30"/>
          <w:szCs w:val="30"/>
          <w:bdr w:val="none" w:sz="0" w:space="0" w:color="auto" w:frame="1"/>
        </w:rPr>
        <w:t>od</w:t>
      </w:r>
      <w:proofErr w:type="gramEnd"/>
      <w:r w:rsidRPr="00BE39F9">
        <w:rPr>
          <w:rFonts w:ascii="inherit" w:eastAsia="Times New Roman" w:hAnsi="inherit" w:cs="Helvetica"/>
          <w:b/>
          <w:bCs/>
          <w:color w:val="D23232"/>
          <w:sz w:val="30"/>
          <w:szCs w:val="30"/>
          <w:bdr w:val="none" w:sz="0" w:space="0" w:color="auto" w:frame="1"/>
        </w:rPr>
        <w:t xml:space="preserve"> ______ do _______20__. </w:t>
      </w:r>
      <w:proofErr w:type="gramStart"/>
      <w:r w:rsidRPr="00BE39F9">
        <w:rPr>
          <w:rFonts w:ascii="inherit" w:eastAsia="Times New Roman" w:hAnsi="inherit" w:cs="Helvetica"/>
          <w:b/>
          <w:bCs/>
          <w:color w:val="D23232"/>
          <w:sz w:val="30"/>
          <w:szCs w:val="30"/>
          <w:bdr w:val="none" w:sz="0" w:space="0" w:color="auto" w:frame="1"/>
        </w:rPr>
        <w:t>godine</w:t>
      </w:r>
      <w:proofErr w:type="gramEnd"/>
    </w:p>
    <w:p w:rsidR="00BE39F9" w:rsidRPr="00BE39F9" w:rsidRDefault="00BE39F9" w:rsidP="00BE39F9">
      <w:pPr>
        <w:shd w:val="clear" w:color="auto" w:fill="FFFFFF"/>
        <w:spacing w:after="0" w:line="240" w:lineRule="auto"/>
        <w:textAlignment w:val="baseline"/>
        <w:outlineLvl w:val="4"/>
        <w:rPr>
          <w:rFonts w:ascii="Helvetica" w:eastAsia="Times New Roman" w:hAnsi="Helvetica" w:cs="Helvetica"/>
          <w:b/>
          <w:bCs/>
          <w:color w:val="D23232"/>
          <w:sz w:val="30"/>
          <w:szCs w:val="30"/>
        </w:rPr>
      </w:pPr>
      <w:r w:rsidRPr="00BE39F9">
        <w:rPr>
          <w:rFonts w:ascii="inherit" w:eastAsia="Times New Roman" w:hAnsi="inherit" w:cs="Helvetica"/>
          <w:b/>
          <w:bCs/>
          <w:color w:val="D23232"/>
          <w:sz w:val="30"/>
          <w:szCs w:val="30"/>
          <w:bdr w:val="none" w:sz="0" w:space="0" w:color="auto" w:frame="1"/>
        </w:rPr>
        <w:t>Prilog 3 – </w:t>
      </w:r>
      <w:hyperlink r:id="rId7" w:tgtFrame="_blank" w:history="1">
        <w:r w:rsidRPr="00BE39F9">
          <w:rPr>
            <w:rFonts w:ascii="inherit" w:eastAsia="Times New Roman" w:hAnsi="inherit" w:cs="Helvetica"/>
            <w:b/>
            <w:bCs/>
            <w:color w:val="D23232"/>
            <w:sz w:val="30"/>
            <w:u w:val="single"/>
          </w:rPr>
          <w:t>Izveštaj o ostalom rezultatu</w:t>
        </w:r>
      </w:hyperlink>
      <w:r w:rsidRPr="00BE39F9">
        <w:rPr>
          <w:rFonts w:ascii="inherit" w:eastAsia="Times New Roman" w:hAnsi="inherit" w:cs="Helvetica"/>
          <w:b/>
          <w:bCs/>
          <w:color w:val="D23232"/>
          <w:sz w:val="30"/>
          <w:szCs w:val="30"/>
          <w:bdr w:val="none" w:sz="0" w:space="0" w:color="auto" w:frame="1"/>
        </w:rPr>
        <w:t xml:space="preserve"> za period </w:t>
      </w:r>
      <w:proofErr w:type="gramStart"/>
      <w:r w:rsidRPr="00BE39F9">
        <w:rPr>
          <w:rFonts w:ascii="inherit" w:eastAsia="Times New Roman" w:hAnsi="inherit" w:cs="Helvetica"/>
          <w:b/>
          <w:bCs/>
          <w:color w:val="D23232"/>
          <w:sz w:val="30"/>
          <w:szCs w:val="30"/>
          <w:bdr w:val="none" w:sz="0" w:space="0" w:color="auto" w:frame="1"/>
        </w:rPr>
        <w:t>od</w:t>
      </w:r>
      <w:proofErr w:type="gramEnd"/>
      <w:r w:rsidRPr="00BE39F9">
        <w:rPr>
          <w:rFonts w:ascii="inherit" w:eastAsia="Times New Roman" w:hAnsi="inherit" w:cs="Helvetica"/>
          <w:b/>
          <w:bCs/>
          <w:color w:val="D23232"/>
          <w:sz w:val="30"/>
          <w:szCs w:val="30"/>
          <w:bdr w:val="none" w:sz="0" w:space="0" w:color="auto" w:frame="1"/>
        </w:rPr>
        <w:t xml:space="preserve"> ______ do _______20__. </w:t>
      </w:r>
      <w:proofErr w:type="gramStart"/>
      <w:r w:rsidRPr="00BE39F9">
        <w:rPr>
          <w:rFonts w:ascii="inherit" w:eastAsia="Times New Roman" w:hAnsi="inherit" w:cs="Helvetica"/>
          <w:b/>
          <w:bCs/>
          <w:color w:val="D23232"/>
          <w:sz w:val="30"/>
          <w:szCs w:val="30"/>
          <w:bdr w:val="none" w:sz="0" w:space="0" w:color="auto" w:frame="1"/>
        </w:rPr>
        <w:t>godine</w:t>
      </w:r>
      <w:proofErr w:type="gramEnd"/>
    </w:p>
    <w:p w:rsidR="00BE39F9" w:rsidRPr="00BE39F9" w:rsidRDefault="00BE39F9" w:rsidP="00BE39F9">
      <w:pPr>
        <w:shd w:val="clear" w:color="auto" w:fill="FFFFFF"/>
        <w:spacing w:after="0" w:line="240" w:lineRule="auto"/>
        <w:textAlignment w:val="baseline"/>
        <w:outlineLvl w:val="4"/>
        <w:rPr>
          <w:rFonts w:ascii="Helvetica" w:eastAsia="Times New Roman" w:hAnsi="Helvetica" w:cs="Helvetica"/>
          <w:b/>
          <w:bCs/>
          <w:color w:val="D23232"/>
          <w:sz w:val="30"/>
          <w:szCs w:val="30"/>
        </w:rPr>
      </w:pPr>
      <w:r w:rsidRPr="00BE39F9">
        <w:rPr>
          <w:rFonts w:ascii="inherit" w:eastAsia="Times New Roman" w:hAnsi="inherit" w:cs="Helvetica"/>
          <w:b/>
          <w:bCs/>
          <w:color w:val="D23232"/>
          <w:sz w:val="30"/>
          <w:szCs w:val="30"/>
          <w:bdr w:val="none" w:sz="0" w:space="0" w:color="auto" w:frame="1"/>
        </w:rPr>
        <w:t>Prilog 4 – </w:t>
      </w:r>
      <w:hyperlink r:id="rId8" w:tgtFrame="_blank" w:history="1">
        <w:r w:rsidRPr="00BE39F9">
          <w:rPr>
            <w:rFonts w:ascii="inherit" w:eastAsia="Times New Roman" w:hAnsi="inherit" w:cs="Helvetica"/>
            <w:b/>
            <w:bCs/>
            <w:color w:val="D23232"/>
            <w:sz w:val="30"/>
            <w:u w:val="single"/>
          </w:rPr>
          <w:t>Izveštaj o tokovima gotovine</w:t>
        </w:r>
      </w:hyperlink>
      <w:r w:rsidRPr="00BE39F9">
        <w:rPr>
          <w:rFonts w:ascii="inherit" w:eastAsia="Times New Roman" w:hAnsi="inherit" w:cs="Helvetica"/>
          <w:b/>
          <w:bCs/>
          <w:color w:val="D23232"/>
          <w:sz w:val="30"/>
          <w:szCs w:val="30"/>
          <w:bdr w:val="none" w:sz="0" w:space="0" w:color="auto" w:frame="1"/>
        </w:rPr>
        <w:t xml:space="preserve"> u periodu </w:t>
      </w:r>
      <w:proofErr w:type="gramStart"/>
      <w:r w:rsidRPr="00BE39F9">
        <w:rPr>
          <w:rFonts w:ascii="inherit" w:eastAsia="Times New Roman" w:hAnsi="inherit" w:cs="Helvetica"/>
          <w:b/>
          <w:bCs/>
          <w:color w:val="D23232"/>
          <w:sz w:val="30"/>
          <w:szCs w:val="30"/>
          <w:bdr w:val="none" w:sz="0" w:space="0" w:color="auto" w:frame="1"/>
        </w:rPr>
        <w:t>od</w:t>
      </w:r>
      <w:proofErr w:type="gramEnd"/>
      <w:r w:rsidRPr="00BE39F9">
        <w:rPr>
          <w:rFonts w:ascii="inherit" w:eastAsia="Times New Roman" w:hAnsi="inherit" w:cs="Helvetica"/>
          <w:b/>
          <w:bCs/>
          <w:color w:val="D23232"/>
          <w:sz w:val="30"/>
          <w:szCs w:val="30"/>
          <w:bdr w:val="none" w:sz="0" w:space="0" w:color="auto" w:frame="1"/>
        </w:rPr>
        <w:t xml:space="preserve"> ______do _______20__. </w:t>
      </w:r>
      <w:proofErr w:type="gramStart"/>
      <w:r w:rsidRPr="00BE39F9">
        <w:rPr>
          <w:rFonts w:ascii="inherit" w:eastAsia="Times New Roman" w:hAnsi="inherit" w:cs="Helvetica"/>
          <w:b/>
          <w:bCs/>
          <w:color w:val="D23232"/>
          <w:sz w:val="30"/>
          <w:szCs w:val="30"/>
          <w:bdr w:val="none" w:sz="0" w:space="0" w:color="auto" w:frame="1"/>
        </w:rPr>
        <w:t>godine</w:t>
      </w:r>
      <w:proofErr w:type="gramEnd"/>
    </w:p>
    <w:p w:rsidR="00BE39F9" w:rsidRPr="00BE39F9" w:rsidRDefault="00BE39F9" w:rsidP="00BE39F9">
      <w:pPr>
        <w:shd w:val="clear" w:color="auto" w:fill="FFFFFF"/>
        <w:spacing w:after="0" w:line="240" w:lineRule="auto"/>
        <w:textAlignment w:val="baseline"/>
        <w:outlineLvl w:val="4"/>
        <w:rPr>
          <w:rFonts w:ascii="Helvetica" w:eastAsia="Times New Roman" w:hAnsi="Helvetica" w:cs="Helvetica"/>
          <w:b/>
          <w:bCs/>
          <w:color w:val="D23232"/>
          <w:sz w:val="30"/>
          <w:szCs w:val="30"/>
        </w:rPr>
      </w:pPr>
      <w:r w:rsidRPr="00BE39F9">
        <w:rPr>
          <w:rFonts w:ascii="inherit" w:eastAsia="Times New Roman" w:hAnsi="inherit" w:cs="Helvetica"/>
          <w:b/>
          <w:bCs/>
          <w:color w:val="D23232"/>
          <w:sz w:val="30"/>
          <w:szCs w:val="30"/>
          <w:bdr w:val="none" w:sz="0" w:space="0" w:color="auto" w:frame="1"/>
        </w:rPr>
        <w:t>Prilog 5 – </w:t>
      </w:r>
      <w:hyperlink r:id="rId9" w:tgtFrame="_blank" w:history="1">
        <w:r w:rsidRPr="00BE39F9">
          <w:rPr>
            <w:rFonts w:ascii="inherit" w:eastAsia="Times New Roman" w:hAnsi="inherit" w:cs="Helvetica"/>
            <w:b/>
            <w:bCs/>
            <w:color w:val="D23232"/>
            <w:sz w:val="30"/>
            <w:u w:val="single"/>
          </w:rPr>
          <w:t xml:space="preserve">Izveštaj o promenama </w:t>
        </w:r>
        <w:proofErr w:type="gramStart"/>
        <w:r w:rsidRPr="00BE39F9">
          <w:rPr>
            <w:rFonts w:ascii="inherit" w:eastAsia="Times New Roman" w:hAnsi="inherit" w:cs="Helvetica"/>
            <w:b/>
            <w:bCs/>
            <w:color w:val="D23232"/>
            <w:sz w:val="30"/>
            <w:u w:val="single"/>
          </w:rPr>
          <w:t>na</w:t>
        </w:r>
        <w:proofErr w:type="gramEnd"/>
        <w:r w:rsidRPr="00BE39F9">
          <w:rPr>
            <w:rFonts w:ascii="inherit" w:eastAsia="Times New Roman" w:hAnsi="inherit" w:cs="Helvetica"/>
            <w:b/>
            <w:bCs/>
            <w:color w:val="D23232"/>
            <w:sz w:val="30"/>
            <w:u w:val="single"/>
          </w:rPr>
          <w:t xml:space="preserve"> kapitalu</w:t>
        </w:r>
      </w:hyperlink>
      <w:r w:rsidRPr="00BE39F9">
        <w:rPr>
          <w:rFonts w:ascii="inherit" w:eastAsia="Times New Roman" w:hAnsi="inherit" w:cs="Helvetica"/>
          <w:b/>
          <w:bCs/>
          <w:color w:val="D23232"/>
          <w:sz w:val="30"/>
          <w:szCs w:val="30"/>
          <w:bdr w:val="none" w:sz="0" w:space="0" w:color="auto" w:frame="1"/>
        </w:rPr>
        <w:t xml:space="preserve"> u periodu od ________ do _______20__. </w:t>
      </w:r>
      <w:proofErr w:type="gramStart"/>
      <w:r w:rsidRPr="00BE39F9">
        <w:rPr>
          <w:rFonts w:ascii="inherit" w:eastAsia="Times New Roman" w:hAnsi="inherit" w:cs="Helvetica"/>
          <w:b/>
          <w:bCs/>
          <w:color w:val="D23232"/>
          <w:sz w:val="30"/>
          <w:szCs w:val="30"/>
          <w:bdr w:val="none" w:sz="0" w:space="0" w:color="auto" w:frame="1"/>
        </w:rPr>
        <w:t>godine</w:t>
      </w:r>
      <w:proofErr w:type="gramEnd"/>
    </w:p>
    <w:p w:rsidR="00BE39F9" w:rsidRPr="00BE39F9" w:rsidRDefault="00BE39F9" w:rsidP="00BE39F9">
      <w:pPr>
        <w:shd w:val="clear" w:color="auto" w:fill="FFFFFF"/>
        <w:spacing w:line="240" w:lineRule="auto"/>
        <w:textAlignment w:val="baseline"/>
        <w:outlineLvl w:val="4"/>
        <w:rPr>
          <w:rFonts w:ascii="Helvetica" w:eastAsia="Times New Roman" w:hAnsi="Helvetica" w:cs="Helvetica"/>
          <w:b/>
          <w:bCs/>
          <w:color w:val="D23232"/>
          <w:sz w:val="30"/>
          <w:szCs w:val="30"/>
        </w:rPr>
      </w:pPr>
      <w:proofErr w:type="gramStart"/>
      <w:r w:rsidRPr="00BE39F9">
        <w:rPr>
          <w:rFonts w:ascii="inherit" w:eastAsia="Times New Roman" w:hAnsi="inherit" w:cs="Helvetica"/>
          <w:b/>
          <w:bCs/>
          <w:color w:val="D23232"/>
          <w:sz w:val="30"/>
          <w:szCs w:val="30"/>
          <w:bdr w:val="none" w:sz="0" w:space="0" w:color="auto" w:frame="1"/>
        </w:rPr>
        <w:t>Prilog 6 – </w:t>
      </w:r>
      <w:hyperlink r:id="rId10" w:tgtFrame="_blank" w:history="1">
        <w:r w:rsidRPr="00BE39F9">
          <w:rPr>
            <w:rFonts w:ascii="inherit" w:eastAsia="Times New Roman" w:hAnsi="inherit" w:cs="Helvetica"/>
            <w:b/>
            <w:bCs/>
            <w:color w:val="D23232"/>
            <w:sz w:val="30"/>
            <w:u w:val="single"/>
          </w:rPr>
          <w:t>Statistički izveštaj</w:t>
        </w:r>
      </w:hyperlink>
      <w:r w:rsidRPr="00BE39F9">
        <w:rPr>
          <w:rFonts w:ascii="inherit" w:eastAsia="Times New Roman" w:hAnsi="inherit" w:cs="Helvetica"/>
          <w:b/>
          <w:bCs/>
          <w:color w:val="D23232"/>
          <w:sz w:val="30"/>
          <w:szCs w:val="30"/>
          <w:bdr w:val="none" w:sz="0" w:space="0" w:color="auto" w:frame="1"/>
        </w:rPr>
        <w:t> za 20__.</w:t>
      </w:r>
      <w:proofErr w:type="gramEnd"/>
      <w:r w:rsidRPr="00BE39F9">
        <w:rPr>
          <w:rFonts w:ascii="inherit" w:eastAsia="Times New Roman" w:hAnsi="inherit" w:cs="Helvetica"/>
          <w:b/>
          <w:bCs/>
          <w:color w:val="D23232"/>
          <w:sz w:val="30"/>
          <w:szCs w:val="30"/>
          <w:bdr w:val="none" w:sz="0" w:space="0" w:color="auto" w:frame="1"/>
        </w:rPr>
        <w:t xml:space="preserve"> </w:t>
      </w:r>
      <w:proofErr w:type="gramStart"/>
      <w:r w:rsidRPr="00BE39F9">
        <w:rPr>
          <w:rFonts w:ascii="inherit" w:eastAsia="Times New Roman" w:hAnsi="inherit" w:cs="Helvetica"/>
          <w:b/>
          <w:bCs/>
          <w:color w:val="D23232"/>
          <w:sz w:val="30"/>
          <w:szCs w:val="30"/>
          <w:bdr w:val="none" w:sz="0" w:space="0" w:color="auto" w:frame="1"/>
        </w:rPr>
        <w:t>godinu</w:t>
      </w:r>
      <w:proofErr w:type="gramEnd"/>
    </w:p>
    <w:p w:rsidR="007015E6" w:rsidRDefault="007015E6"/>
    <w:sectPr w:rsidR="007015E6" w:rsidSect="007015E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savePreviewPicture/>
  <w:compat/>
  <w:rsids>
    <w:rsidRoot w:val="00BE39F9"/>
    <w:rsid w:val="007015E6"/>
    <w:rsid w:val="00740915"/>
    <w:rsid w:val="0098406D"/>
    <w:rsid w:val="00BE39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5E6"/>
  </w:style>
  <w:style w:type="paragraph" w:styleId="Heading1">
    <w:name w:val="heading 1"/>
    <w:basedOn w:val="Normal"/>
    <w:link w:val="Heading1Char"/>
    <w:uiPriority w:val="9"/>
    <w:qFormat/>
    <w:rsid w:val="00BE39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E39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E39F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E39F9"/>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E39F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9F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E39F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E39F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E39F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E39F9"/>
    <w:rPr>
      <w:rFonts w:ascii="Times New Roman" w:eastAsia="Times New Roman" w:hAnsi="Times New Roman" w:cs="Times New Roman"/>
      <w:b/>
      <w:bCs/>
      <w:sz w:val="15"/>
      <w:szCs w:val="15"/>
    </w:rPr>
  </w:style>
  <w:style w:type="character" w:customStyle="1" w:styleId="category">
    <w:name w:val="category"/>
    <w:basedOn w:val="DefaultParagraphFont"/>
    <w:rsid w:val="00BE39F9"/>
  </w:style>
  <w:style w:type="character" w:styleId="Hyperlink">
    <w:name w:val="Hyperlink"/>
    <w:basedOn w:val="DefaultParagraphFont"/>
    <w:uiPriority w:val="99"/>
    <w:semiHidden/>
    <w:unhideWhenUsed/>
    <w:rsid w:val="00BE39F9"/>
    <w:rPr>
      <w:color w:val="0000FF"/>
      <w:u w:val="single"/>
    </w:rPr>
  </w:style>
  <w:style w:type="character" w:customStyle="1" w:styleId="tags">
    <w:name w:val="tags"/>
    <w:basedOn w:val="DefaultParagraphFont"/>
    <w:rsid w:val="00BE39F9"/>
  </w:style>
  <w:style w:type="paragraph" w:customStyle="1" w:styleId="toctitle">
    <w:name w:val="toc_title"/>
    <w:basedOn w:val="Normal"/>
    <w:rsid w:val="00BE39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_toggle"/>
    <w:basedOn w:val="DefaultParagraphFont"/>
    <w:rsid w:val="00BE39F9"/>
  </w:style>
  <w:style w:type="character" w:customStyle="1" w:styleId="t">
    <w:name w:val="t"/>
    <w:basedOn w:val="DefaultParagraphFont"/>
    <w:rsid w:val="00BE39F9"/>
  </w:style>
  <w:style w:type="paragraph" w:styleId="NormalWeb">
    <w:name w:val="Normal (Web)"/>
    <w:basedOn w:val="Normal"/>
    <w:uiPriority w:val="99"/>
    <w:semiHidden/>
    <w:unhideWhenUsed/>
    <w:rsid w:val="00BE39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39F9"/>
    <w:rPr>
      <w:b/>
      <w:bCs/>
    </w:rPr>
  </w:style>
</w:styles>
</file>

<file path=word/webSettings.xml><?xml version="1.0" encoding="utf-8"?>
<w:webSettings xmlns:r="http://schemas.openxmlformats.org/officeDocument/2006/relationships" xmlns:w="http://schemas.openxmlformats.org/wordprocessingml/2006/main">
  <w:divs>
    <w:div w:id="35005614">
      <w:bodyDiv w:val="1"/>
      <w:marLeft w:val="0"/>
      <w:marRight w:val="0"/>
      <w:marTop w:val="0"/>
      <w:marBottom w:val="0"/>
      <w:divBdr>
        <w:top w:val="none" w:sz="0" w:space="0" w:color="auto"/>
        <w:left w:val="none" w:sz="0" w:space="0" w:color="auto"/>
        <w:bottom w:val="none" w:sz="0" w:space="0" w:color="auto"/>
        <w:right w:val="none" w:sz="0" w:space="0" w:color="auto"/>
      </w:divBdr>
      <w:divsChild>
        <w:div w:id="256133115">
          <w:marLeft w:val="0"/>
          <w:marRight w:val="0"/>
          <w:marTop w:val="0"/>
          <w:marBottom w:val="150"/>
          <w:divBdr>
            <w:top w:val="none" w:sz="0" w:space="0" w:color="auto"/>
            <w:left w:val="none" w:sz="0" w:space="0" w:color="auto"/>
            <w:bottom w:val="none" w:sz="0" w:space="0" w:color="auto"/>
            <w:right w:val="none" w:sz="0" w:space="0" w:color="auto"/>
          </w:divBdr>
        </w:div>
        <w:div w:id="87888510">
          <w:marLeft w:val="0"/>
          <w:marRight w:val="0"/>
          <w:marTop w:val="540"/>
          <w:marBottom w:val="450"/>
          <w:divBdr>
            <w:top w:val="none" w:sz="0" w:space="0" w:color="auto"/>
            <w:left w:val="none" w:sz="0" w:space="0" w:color="auto"/>
            <w:bottom w:val="none" w:sz="0" w:space="0" w:color="auto"/>
            <w:right w:val="none" w:sz="0" w:space="0" w:color="auto"/>
          </w:divBdr>
          <w:divsChild>
            <w:div w:id="2132279771">
              <w:marLeft w:val="0"/>
              <w:marRight w:val="0"/>
              <w:marTop w:val="0"/>
              <w:marBottom w:val="240"/>
              <w:divBdr>
                <w:top w:val="single" w:sz="6" w:space="8" w:color="AAAAAA"/>
                <w:left w:val="single" w:sz="6" w:space="8" w:color="AAAAAA"/>
                <w:bottom w:val="single" w:sz="6" w:space="8" w:color="AAAAAA"/>
                <w:right w:val="single" w:sz="6" w:space="8" w:color="AAAAAA"/>
              </w:divBdr>
            </w:div>
            <w:div w:id="1932884577">
              <w:marLeft w:val="0"/>
              <w:marRight w:val="0"/>
              <w:marTop w:val="0"/>
              <w:marBottom w:val="300"/>
              <w:divBdr>
                <w:top w:val="none" w:sz="0" w:space="0" w:color="auto"/>
                <w:left w:val="none" w:sz="0" w:space="0" w:color="auto"/>
                <w:bottom w:val="none" w:sz="0" w:space="0" w:color="auto"/>
                <w:right w:val="none" w:sz="0" w:space="0" w:color="auto"/>
              </w:divBdr>
              <w:divsChild>
                <w:div w:id="1051925859">
                  <w:marLeft w:val="0"/>
                  <w:marRight w:val="0"/>
                  <w:marTop w:val="0"/>
                  <w:marBottom w:val="0"/>
                  <w:divBdr>
                    <w:top w:val="none" w:sz="0" w:space="0" w:color="auto"/>
                    <w:left w:val="none" w:sz="0" w:space="0" w:color="auto"/>
                    <w:bottom w:val="none" w:sz="0" w:space="0" w:color="auto"/>
                    <w:right w:val="none" w:sz="0" w:space="0" w:color="auto"/>
                  </w:divBdr>
                  <w:divsChild>
                    <w:div w:id="89994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eobilten.com/wp-content/uploads/2020/06/izvestaj-o-tokovima-gotovine.pdf" TargetMode="External"/><Relationship Id="rId3" Type="http://schemas.openxmlformats.org/officeDocument/2006/relationships/webSettings" Target="webSettings.xml"/><Relationship Id="rId7" Type="http://schemas.openxmlformats.org/officeDocument/2006/relationships/hyperlink" Target="https://www.neobilten.com/wp-content/uploads/2020/06/izvestaj-o-ostalom-rezultatu.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obilten.com/wp-content/uploads/2020/06/bilans-uspeha.pdf" TargetMode="External"/><Relationship Id="rId11" Type="http://schemas.openxmlformats.org/officeDocument/2006/relationships/fontTable" Target="fontTable.xml"/><Relationship Id="rId5" Type="http://schemas.openxmlformats.org/officeDocument/2006/relationships/hyperlink" Target="https://www.neobilten.com/wp-content/uploads/2020/06/bilans-stanja.pdf" TargetMode="External"/><Relationship Id="rId10" Type="http://schemas.openxmlformats.org/officeDocument/2006/relationships/hyperlink" Target="https://www.neobilten.com/wp-content/uploads/2020/06/statisticki-izvestaj.pdf" TargetMode="External"/><Relationship Id="rId4" Type="http://schemas.openxmlformats.org/officeDocument/2006/relationships/hyperlink" Target="https://www.neobilten.com/objavljen-sluzbeni-glasnik-rs-broj-89-od-25-6-2020-godine/" TargetMode="External"/><Relationship Id="rId9" Type="http://schemas.openxmlformats.org/officeDocument/2006/relationships/hyperlink" Target="https://www.neobilten.com/wp-content/uploads/2020/06/izvestaj-o-promenama-na-kapital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12088</Words>
  <Characters>68907</Characters>
  <Application>Microsoft Office Word</Application>
  <DocSecurity>0</DocSecurity>
  <Lines>574</Lines>
  <Paragraphs>161</Paragraphs>
  <ScaleCrop>false</ScaleCrop>
  <Company/>
  <LinksUpToDate>false</LinksUpToDate>
  <CharactersWithSpaces>80834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FinanceTeam</dc:creator>
  <cp:lastModifiedBy>FinanceTeam</cp:lastModifiedBy>
  <cp:revision>2</cp:revision>
  <dcterms:created xsi:type="dcterms:W3CDTF">2025-08-27T21:47:00Z</dcterms:created>
  <dcterms:modified xsi:type="dcterms:W3CDTF">2025-08-27T21:47:00Z</dcterms:modified>
</cp:coreProperties>
</file>