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93" w:rsidRPr="00AD3493" w:rsidRDefault="00AD3493" w:rsidP="00AD3493">
      <w:pPr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proofErr w:type="gramStart"/>
      <w:r w:rsidRPr="00AD3493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ROKOVI I OBIM FINANSIJSKIH IZVEŠTAJA ZA 202</w:t>
      </w:r>
      <w:r w:rsidR="00E85440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6</w:t>
      </w:r>
      <w:r w:rsidRPr="00AD3493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.</w:t>
      </w:r>
      <w:proofErr w:type="gramEnd"/>
      <w:r w:rsidRPr="00AD3493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 xml:space="preserve"> GODINU</w:t>
      </w:r>
    </w:p>
    <w:p w:rsidR="00AD3493" w:rsidRPr="00AD3493" w:rsidRDefault="00AD3493" w:rsidP="00AD34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Na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osnovu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44.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1. </w:t>
      </w:r>
      <w:proofErr w:type="spellStart"/>
      <w:r w:rsidR="00D7646C" w:rsidRPr="00AD3493">
        <w:rPr>
          <w:rFonts w:ascii="inherit" w:eastAsia="Times New Roman" w:hAnsi="inherit" w:cs="Helvetica"/>
          <w:color w:val="333333"/>
          <w:sz w:val="27"/>
          <w:szCs w:val="27"/>
        </w:rPr>
        <w:fldChar w:fldCharType="begin"/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instrText xml:space="preserve"> HYPERLINK "https://www.neobilten.com/zakon-o-racunovodstvu-4/" </w:instrText>
      </w:r>
      <w:r w:rsidR="00D7646C" w:rsidRPr="00AD3493">
        <w:rPr>
          <w:rFonts w:ascii="inherit" w:eastAsia="Times New Roman" w:hAnsi="inherit" w:cs="Helvetica"/>
          <w:color w:val="333333"/>
          <w:sz w:val="27"/>
          <w:szCs w:val="27"/>
        </w:rPr>
        <w:fldChar w:fldCharType="separate"/>
      </w:r>
      <w:r w:rsidRPr="00AD3493">
        <w:rPr>
          <w:rFonts w:ascii="inherit" w:eastAsia="Times New Roman" w:hAnsi="inherit" w:cs="Helvetica"/>
          <w:color w:val="D23232"/>
          <w:sz w:val="27"/>
          <w:u w:val="single"/>
        </w:rPr>
        <w:t>Zakona</w:t>
      </w:r>
      <w:proofErr w:type="spellEnd"/>
      <w:r w:rsidR="00D7646C" w:rsidRPr="00AD3493">
        <w:rPr>
          <w:rFonts w:ascii="inherit" w:eastAsia="Times New Roman" w:hAnsi="inherit" w:cs="Helvetica"/>
          <w:color w:val="333333"/>
          <w:sz w:val="27"/>
          <w:szCs w:val="27"/>
        </w:rPr>
        <w:fldChar w:fldCharType="end"/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 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računovodstvu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(u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daljem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tekstu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: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),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redovni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godišnji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finansijski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neaktivnosti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dostavljaju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se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 APR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najkasnije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do 31. 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marta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AD3493" w:rsidRPr="00AD3493" w:rsidRDefault="00AD3493" w:rsidP="00AD34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Statistički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 se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takođe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dostavlja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do 31. 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marta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202</w:t>
      </w:r>
      <w:r w:rsidR="00E85440">
        <w:rPr>
          <w:rFonts w:ascii="inherit" w:eastAsia="Times New Roman" w:hAnsi="inherit" w:cs="Helvetica"/>
          <w:color w:val="333333"/>
          <w:sz w:val="27"/>
          <w:szCs w:val="27"/>
        </w:rPr>
        <w:t>6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44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3.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).</w:t>
      </w:r>
      <w:proofErr w:type="gramEnd"/>
    </w:p>
    <w:p w:rsidR="00AD3493" w:rsidRPr="00AD3493" w:rsidRDefault="00AD3493" w:rsidP="00AD34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Konsolidovani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godišnji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dostavljaju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se APR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najkasnije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do 4. 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maja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br/>
      </w:r>
      <w:proofErr w:type="spellStart"/>
      <w:r w:rsidRPr="00AD3493">
        <w:rPr>
          <w:rFonts w:ascii="inherit" w:eastAsia="Times New Roman" w:hAnsi="inherit" w:cs="Helvetica"/>
          <w:b/>
          <w:bCs/>
          <w:i/>
          <w:iCs/>
          <w:color w:val="333333"/>
          <w:sz w:val="20"/>
        </w:rPr>
        <w:t>Napomena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: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na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osnovu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člana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44.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stav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4.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Zakona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konsolidovani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finansijski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izveštaji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se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dostavljaju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do 30.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aprila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naredne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godine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. </w:t>
      </w:r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S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obzirom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da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je 30.</w:t>
      </w:r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april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202</w:t>
      </w:r>
      <w:r w:rsidR="00E85440">
        <w:rPr>
          <w:rFonts w:ascii="inherit" w:eastAsia="Times New Roman" w:hAnsi="inherit" w:cs="Helvetica"/>
          <w:i/>
          <w:iCs/>
          <w:color w:val="333333"/>
          <w:sz w:val="20"/>
        </w:rPr>
        <w:t>6</w:t>
      </w:r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subota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rok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se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pomera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na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prvi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sledeći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radni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dan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, u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ovom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slučaju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je to 4.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maj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202</w:t>
      </w:r>
      <w:r w:rsidR="00E85440">
        <w:rPr>
          <w:rFonts w:ascii="inherit" w:eastAsia="Times New Roman" w:hAnsi="inherit" w:cs="Helvetica"/>
          <w:i/>
          <w:iCs/>
          <w:color w:val="333333"/>
          <w:sz w:val="20"/>
        </w:rPr>
        <w:t>6</w:t>
      </w:r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.</w:t>
      </w:r>
    </w:p>
    <w:p w:rsidR="00AD3493" w:rsidRPr="00AD3493" w:rsidRDefault="00AD3493" w:rsidP="00AD3493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Uz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više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ne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dostavlja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odluka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raspodeli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dobiti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pokriću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gubitka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a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odluku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usvajanju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godišnjeg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finansijskog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dostavljaju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samo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obveznici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revizije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45.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1.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).</w:t>
      </w:r>
      <w:proofErr w:type="gramEnd"/>
    </w:p>
    <w:p w:rsidR="00AD3493" w:rsidRPr="00AD3493" w:rsidRDefault="00AD3493" w:rsidP="00AD34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Pravna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preduzetnici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na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osnovu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izvršene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revizije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finansijskih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koriguju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svoje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202</w:t>
      </w:r>
      <w:r w:rsidR="00E85440">
        <w:rPr>
          <w:rFonts w:ascii="inherit" w:eastAsia="Times New Roman" w:hAnsi="inherit" w:cs="Helvetica"/>
          <w:color w:val="333333"/>
          <w:sz w:val="27"/>
          <w:szCs w:val="27"/>
        </w:rPr>
        <w:t>6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korigovane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dostavljaju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APR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najkasnije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do 30. 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juna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do 1. 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avgusta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konsolidovane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45.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br/>
      </w:r>
      <w:proofErr w:type="spellStart"/>
      <w:r w:rsidRPr="00AD3493">
        <w:rPr>
          <w:rFonts w:ascii="inherit" w:eastAsia="Times New Roman" w:hAnsi="inherit" w:cs="Helvetica"/>
          <w:b/>
          <w:bCs/>
          <w:i/>
          <w:iCs/>
          <w:color w:val="333333"/>
          <w:sz w:val="20"/>
        </w:rPr>
        <w:t>Napomena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: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za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konsolidovane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izveštaje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je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rok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inače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do 31.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jula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naredne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godine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ali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s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obzirom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da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je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taj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datum u 2022.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godini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nedelja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rok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se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pomera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na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prvi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sledeći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radni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dan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, u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ovom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slučaju</w:t>
      </w:r>
      <w:proofErr w:type="spell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je to 1.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avgust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 xml:space="preserve"> 2022. </w:t>
      </w:r>
      <w:proofErr w:type="spellStart"/>
      <w:proofErr w:type="gramStart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i/>
          <w:iCs/>
          <w:color w:val="333333"/>
          <w:sz w:val="20"/>
        </w:rPr>
        <w:t>.</w:t>
      </w:r>
      <w:r w:rsidRPr="00AD3493">
        <w:rPr>
          <w:rFonts w:ascii="inherit" w:eastAsia="Times New Roman" w:hAnsi="inherit" w:cs="Helvetica"/>
          <w:color w:val="333333"/>
          <w:sz w:val="20"/>
          <w:szCs w:val="20"/>
          <w:bdr w:val="none" w:sz="0" w:space="0" w:color="auto" w:frame="1"/>
        </w:rPr>
        <w:t> </w:t>
      </w:r>
    </w:p>
    <w:p w:rsidR="00AD3493" w:rsidRPr="00AD3493" w:rsidRDefault="00AD3493" w:rsidP="00AD34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Pravno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lice,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preduzetnik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može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podnese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zahtev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zamenu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finansijskog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202</w:t>
      </w:r>
      <w:r w:rsidR="00E85440">
        <w:rPr>
          <w:rFonts w:ascii="inherit" w:eastAsia="Times New Roman" w:hAnsi="inherit" w:cs="Helvetica"/>
          <w:color w:val="333333"/>
          <w:sz w:val="27"/>
          <w:szCs w:val="27"/>
        </w:rPr>
        <w:t>6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javno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objavljen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kao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potpun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računski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tačan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Registru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finansijskih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utvrdi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u tom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rezultati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poslovanja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položaj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nisu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iskazani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istinito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objektivno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pod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uslovom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je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nadležni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organ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doneo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odluku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usvajanju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finansijskog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izmenjene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sadržine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Ovo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omogućeno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najkasnije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do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kraja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202</w:t>
      </w:r>
      <w:r w:rsidR="00E85440">
        <w:rPr>
          <w:rFonts w:ascii="inherit" w:eastAsia="Times New Roman" w:hAnsi="inherit" w:cs="Helvetica"/>
          <w:b/>
          <w:bCs/>
          <w:color w:val="333333"/>
          <w:sz w:val="27"/>
        </w:rPr>
        <w:t>6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.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46.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).</w:t>
      </w:r>
      <w:proofErr w:type="gramEnd"/>
    </w:p>
    <w:p w:rsidR="00AD3493" w:rsidRPr="00AD3493" w:rsidRDefault="00AD3493" w:rsidP="00AD3493">
      <w:pPr>
        <w:shd w:val="clear" w:color="auto" w:fill="F6D6D6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Samo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preduzetnici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druga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razvrstani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kao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mikro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pravna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sastavljaju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redovan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godišnji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obuhvata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Bilans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stanja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Bilans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uspeha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29.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7.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).</w:t>
      </w:r>
      <w:proofErr w:type="gramEnd"/>
    </w:p>
    <w:p w:rsidR="00AD3493" w:rsidRPr="00AD3493" w:rsidRDefault="00AD3493" w:rsidP="00AD34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Svi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ostali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preduzetnici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sastavljaju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Napomene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uz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29.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6.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), a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velika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srednja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,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matična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lica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javna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društva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sastavljaju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još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ostalom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rezultatu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promenama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kapitalu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tokovima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gotovine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član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29.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5.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) –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tzv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kompletan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set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AD3493" w:rsidRPr="00AD3493" w:rsidRDefault="00AD3493" w:rsidP="00AD3493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Razlike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 u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setu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u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odnosu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na</w:t>
      </w:r>
      <w:proofErr w:type="spellEnd"/>
      <w:proofErr w:type="gram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ranije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godine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sledeće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:</w:t>
      </w:r>
    </w:p>
    <w:p w:rsidR="00AD3493" w:rsidRPr="00AD3493" w:rsidRDefault="00AD3493" w:rsidP="00AD3493">
      <w:pPr>
        <w:numPr>
          <w:ilvl w:val="0"/>
          <w:numId w:val="1"/>
        </w:numPr>
        <w:shd w:val="clear" w:color="auto" w:fill="F9F9F9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Napomene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uz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obavezne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mikro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(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osim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mikro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druga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pravna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)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preduzetnike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koji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nisu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mikro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pravna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lica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;</w:t>
      </w:r>
    </w:p>
    <w:p w:rsidR="00AD3493" w:rsidRPr="00AD3493" w:rsidRDefault="00AD3493" w:rsidP="00AD3493">
      <w:pPr>
        <w:numPr>
          <w:ilvl w:val="0"/>
          <w:numId w:val="1"/>
        </w:numPr>
        <w:shd w:val="clear" w:color="auto" w:fill="F9F9F9"/>
        <w:spacing w:line="240" w:lineRule="auto"/>
        <w:ind w:left="300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Kompletan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set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ranije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bio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obavezan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sve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primenjuju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MSFI,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MSFI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MSP, a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sada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mala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mikro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pravna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lica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preduzetnici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lastRenderedPageBreak/>
        <w:t>odluče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primenjuju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MSFI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MSFI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MSP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, </w:t>
      </w:r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ne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sastavljaju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>kompletan</w:t>
      </w:r>
      <w:proofErr w:type="spellEnd"/>
      <w:r w:rsidRPr="00AD3493">
        <w:rPr>
          <w:rFonts w:ascii="inherit" w:eastAsia="Times New Roman" w:hAnsi="inherit" w:cs="Helvetica"/>
          <w:b/>
          <w:bCs/>
          <w:color w:val="333333"/>
          <w:sz w:val="27"/>
        </w:rPr>
        <w:t xml:space="preserve"> set</w:t>
      </w:r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AD3493" w:rsidRPr="00AD3493" w:rsidRDefault="00AD3493" w:rsidP="00AD349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U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nastavku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dajemo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tabelarni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pregled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obima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finansijskih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izveštaja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2021.</w:t>
      </w:r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AD3493">
        <w:rPr>
          <w:rFonts w:ascii="inherit" w:eastAsia="Times New Roman" w:hAnsi="inherit" w:cs="Helvetica"/>
          <w:color w:val="333333"/>
          <w:sz w:val="27"/>
          <w:szCs w:val="27"/>
        </w:rPr>
        <w:t>:</w:t>
      </w:r>
    </w:p>
    <w:tbl>
      <w:tblPr>
        <w:tblW w:w="10083" w:type="dxa"/>
        <w:tblCellSpacing w:w="15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8"/>
        <w:gridCol w:w="30"/>
        <w:gridCol w:w="6395"/>
      </w:tblGrid>
      <w:tr w:rsidR="00AD3493" w:rsidRPr="00AD3493" w:rsidTr="00AD3493">
        <w:trPr>
          <w:tblHeader/>
          <w:tblCellSpacing w:w="15" w:type="dxa"/>
        </w:trPr>
        <w:tc>
          <w:tcPr>
            <w:tcW w:w="4471" w:type="dxa"/>
            <w:gridSpan w:val="2"/>
            <w:tcBorders>
              <w:top w:val="single" w:sz="6" w:space="0" w:color="DDDDDD"/>
              <w:left w:val="nil"/>
              <w:bottom w:val="single" w:sz="6" w:space="0" w:color="111111"/>
              <w:right w:val="single" w:sz="6" w:space="0" w:color="DDDDDD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  <w:proofErr w:type="spellStart"/>
            <w:r w:rsidRPr="00AD349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Obim</w:t>
            </w:r>
            <w:proofErr w:type="spellEnd"/>
            <w:r w:rsidRPr="00AD349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finansijskih</w:t>
            </w:r>
            <w:proofErr w:type="spellEnd"/>
            <w:r w:rsidRPr="00AD349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izveštaja</w:t>
            </w:r>
            <w:proofErr w:type="spellEnd"/>
          </w:p>
        </w:tc>
        <w:tc>
          <w:tcPr>
            <w:tcW w:w="4471" w:type="dxa"/>
            <w:tcBorders>
              <w:top w:val="single" w:sz="6" w:space="0" w:color="DDDDDD"/>
              <w:left w:val="nil"/>
              <w:bottom w:val="single" w:sz="6" w:space="0" w:color="111111"/>
              <w:right w:val="single" w:sz="6" w:space="0" w:color="DDDDDD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  <w:proofErr w:type="spellStart"/>
            <w:r w:rsidRPr="00AD3493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Obveznici</w:t>
            </w:r>
            <w:proofErr w:type="spellEnd"/>
          </w:p>
        </w:tc>
      </w:tr>
      <w:tr w:rsidR="00AD3493" w:rsidRPr="00AD3493" w:rsidTr="00AD3493">
        <w:trPr>
          <w:tblHeader/>
          <w:tblCellSpacing w:w="15" w:type="dxa"/>
        </w:trPr>
        <w:tc>
          <w:tcPr>
            <w:tcW w:w="4471" w:type="dxa"/>
            <w:tcBorders>
              <w:top w:val="single" w:sz="2" w:space="0" w:color="DDDDDD"/>
              <w:left w:val="nil"/>
              <w:bottom w:val="single" w:sz="2" w:space="0" w:color="111111"/>
              <w:right w:val="single" w:sz="6" w:space="0" w:color="DDDDDD"/>
            </w:tcBorders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1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2" w:space="0" w:color="DDDDDD"/>
              <w:left w:val="nil"/>
              <w:bottom w:val="single" w:sz="2" w:space="0" w:color="111111"/>
              <w:right w:val="single" w:sz="6" w:space="0" w:color="DDDDDD"/>
            </w:tcBorders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1"/>
                <w:szCs w:val="24"/>
              </w:rPr>
            </w:pPr>
          </w:p>
        </w:tc>
      </w:tr>
      <w:tr w:rsidR="00AD3493" w:rsidRPr="00AD3493" w:rsidTr="00AD3493">
        <w:trPr>
          <w:tblCellSpacing w:w="15" w:type="dxa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1.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Bilans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stanja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Bilans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uspeha</w:t>
            </w:r>
            <w:proofErr w:type="spellEnd"/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300" w:lineRule="atLeast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- PREDUZETNICI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MIKRO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DRUGA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MIKRO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(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koja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primenjuju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Pravilnik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za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mikro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druga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)*</w:t>
            </w:r>
          </w:p>
        </w:tc>
      </w:tr>
      <w:tr w:rsidR="00AD3493" w:rsidRPr="00AD3493" w:rsidTr="00AD349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1.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Bilan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stanja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Bilans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uspeha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Napomene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uz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finansijske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izveštaje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300" w:lineRule="atLeast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- PRAVNA LICA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MIKRO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MALA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PREDUZETNICI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MALA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DRUGA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MIKRO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(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koja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primenjuju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MSFI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ili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MSFI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za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MSP)*</w:t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DRUGA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MALA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</w:p>
        </w:tc>
      </w:tr>
      <w:tr w:rsidR="00AD3493" w:rsidRPr="00AD3493" w:rsidTr="00AD349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1.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Bilan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stanja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Bilans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uspeha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Napomene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uz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finansijske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izveštaje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Izveštaj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ostalom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rezultatu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5.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Izveštaj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promenama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na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kapitalu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6.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Izveštaj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o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tokovima</w:t>
            </w:r>
            <w:proofErr w:type="spellEnd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4"/>
                <w:szCs w:val="24"/>
              </w:rPr>
              <w:t>gotovine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D3493" w:rsidRPr="00AD3493" w:rsidRDefault="00AD3493" w:rsidP="00AD3493">
            <w:pPr>
              <w:spacing w:after="0" w:line="300" w:lineRule="atLeast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- PRAVNA LICA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SREDNJA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VELIKA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PREDUZETNICI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SREDNJA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VELIKA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DRUGA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razvrstana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kao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SREDNJA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VELIKA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MATIČNA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pravna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lica</w:t>
            </w:r>
            <w:proofErr w:type="spellEnd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</w:r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br/>
              <w:t xml:space="preserve">- JAVNA </w:t>
            </w:r>
            <w:proofErr w:type="spellStart"/>
            <w:r w:rsidRPr="00AD3493">
              <w:rPr>
                <w:rFonts w:ascii="inherit" w:eastAsia="Times New Roman" w:hAnsi="inherit" w:cs="Times New Roman"/>
                <w:sz w:val="21"/>
                <w:szCs w:val="21"/>
              </w:rPr>
              <w:t>društva</w:t>
            </w:r>
            <w:proofErr w:type="spellEnd"/>
          </w:p>
        </w:tc>
      </w:tr>
    </w:tbl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256"/>
    <w:multiLevelType w:val="multilevel"/>
    <w:tmpl w:val="1A14D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3493"/>
    <w:rsid w:val="007015E6"/>
    <w:rsid w:val="00A814FE"/>
    <w:rsid w:val="00AD3493"/>
    <w:rsid w:val="00D7646C"/>
    <w:rsid w:val="00E8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AD3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4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tegory">
    <w:name w:val="category"/>
    <w:basedOn w:val="DefaultParagraphFont"/>
    <w:rsid w:val="00AD3493"/>
  </w:style>
  <w:style w:type="character" w:styleId="Hyperlink">
    <w:name w:val="Hyperlink"/>
    <w:basedOn w:val="DefaultParagraphFont"/>
    <w:uiPriority w:val="99"/>
    <w:semiHidden/>
    <w:unhideWhenUsed/>
    <w:rsid w:val="00AD3493"/>
    <w:rPr>
      <w:color w:val="0000FF"/>
      <w:u w:val="single"/>
    </w:rPr>
  </w:style>
  <w:style w:type="character" w:customStyle="1" w:styleId="tags">
    <w:name w:val="tags"/>
    <w:basedOn w:val="DefaultParagraphFont"/>
    <w:rsid w:val="00AD3493"/>
  </w:style>
  <w:style w:type="character" w:customStyle="1" w:styleId="t">
    <w:name w:val="t"/>
    <w:basedOn w:val="DefaultParagraphFont"/>
    <w:rsid w:val="00AD3493"/>
  </w:style>
  <w:style w:type="character" w:customStyle="1" w:styleId="emember">
    <w:name w:val="emember"/>
    <w:basedOn w:val="DefaultParagraphFont"/>
    <w:rsid w:val="00AD3493"/>
  </w:style>
  <w:style w:type="paragraph" w:styleId="NormalWeb">
    <w:name w:val="Normal (Web)"/>
    <w:basedOn w:val="Normal"/>
    <w:uiPriority w:val="99"/>
    <w:semiHidden/>
    <w:unhideWhenUsed/>
    <w:rsid w:val="00AD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3493"/>
    <w:rPr>
      <w:b/>
      <w:bCs/>
    </w:rPr>
  </w:style>
  <w:style w:type="character" w:styleId="Emphasis">
    <w:name w:val="Emphasis"/>
    <w:basedOn w:val="DefaultParagraphFont"/>
    <w:uiPriority w:val="20"/>
    <w:qFormat/>
    <w:rsid w:val="00AD34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0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019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5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36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8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16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2026-05-07T15:00:00Z</dcterms:created>
  <dcterms:modified xsi:type="dcterms:W3CDTF">2026-05-07T15:00:00Z</dcterms:modified>
</cp:coreProperties>
</file>