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i/>
          <w:iCs/>
          <w:sz w:val="21"/>
        </w:rPr>
        <w:t>Zaključni list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Nakon izrvrsenih knjizenja pristupa se izradi zakIjucnog lista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ciljem da se pripreme podaci za izradu bilansa stanja i bilansa uspeha i za formalan zakIjucak knjiga. Za razliku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probnog bilansa koji se sastavlja mesecno iii tromesecno, zakIjucni list se sastavlja samo pre izrade bilansa.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Zakljucni list je spisak svih racuna glavne knjige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podacima o njihovom prometu i saldu, koji se potom unose u bilans stanja i bilans uspeha. Polazeci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ovakve sadrzine zakljcni list cesto definise i kao prošireni probni bilans, jer se od probnog bilansa razlikuje samo po tome to sadrzi bilans stanja i bilans uspeha.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Kolone saldo bilansa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strani duguje salda aktivnih konta i konta rashoda, ciji zbir mora biti jednak zbiru na potraznoj strani iskazanih salda pasivnih racuna i racuna prihoda.Utvrdjena salda se unose u odgovarajuce bilanse. Salda kod aktivnih konta (0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,1,2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>, i klasa 5 koja ima ulogu aktive) su uvek dugovna, dok su salda pasivnih konta (3,4, i 6 – koja imaju ulogu pasive) uvek potražna.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To znaci da ce u bilans stanja biti uneta salda aktivnih i psivnih konta stanja klase 0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,1,2,3i4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; a u bilans uspeha salda konta rashoda i prihoda (klasa5 i 6).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Medutim, bilans stanja i bilans uspeha neće biti u ravnotezi.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Razlika aktive i pasvie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ce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biti jednaka razlici prihoda i rashoda. Ta razlika predstavlja rezultat poslovanja (dobitak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gubitak) preduzeća. Tek posto se i taj rezultat proknjiži i unese u glavnu knjigu, a zatim unese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manju stranu bilansa stanja i uspeha, oba bilansa ce biti u ravnotezi.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i/>
          <w:iCs/>
          <w:sz w:val="21"/>
        </w:rPr>
        <w:t>Bilans stanja - pojam, vrste i uloga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Ekonomska situacija preduzeća se ogleda u veličini i strukturi njegovih sredstava i izvora sredstava.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Da bi se sagledala ekonomska situacija preduzeća, potrebno je da se ona i formalno prikaže.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U to svrhu koristi se bilans, koji sustinski i nije nista drugo do formalni prikaz date ekonomske situacije u preduzeću.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Naime, bilans stanja je pregled stanja vrednosti aktive i pasive (imovine, kapitala i obaveza) u određenom trenutku (na određeni dan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) .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Bilans se sastavlja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osnovu stvarnog stanja aktive i pasive, utvrdenog inventarom.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Znači, bilans stanja je tabelarni prikaz sredstava i izvora sredstava određenog preduzeća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određeni dan.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U nastavku je dat izgled jednog bilansa stanja.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Postoji više usvojenih principa u vezi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unošenjem pozicija aktive i pasive u bilans. Po principu sigurnosti redosled je sledeći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: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građevinski objekti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mašine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transportna sredstva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poslovn inventar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sitan inventar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materijal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nedovršena prozvodnja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gotovi proizvodi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roba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tekući račun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blagajna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kupci,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dok je redosled u pasivi sledeci: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kapital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dugoročne obaveze i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kratkorocne obaveze.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Svako preduzeće ima svoju specifičnu strukturu i veličinu sredstava i izvora, koja je uslovijena vrstom i obimom poslovnih zadataka,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ali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i uspesnoscu poslovanja.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Bilans vodi poreklo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italijanske reci bilancio što znači vaga sa dva tasa.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Kao što tasovi vage stoje u ravnoteži, tako su i aktiva i pasiva u bilansu uvek u ravnotezi.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Aktiva i pasiva moraju biti jednake.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lastRenderedPageBreak/>
        <w:t xml:space="preserve">Ravnoteža proisitiše otuda imovina preduzeća, mora biti pokrivena izvorima (da li je datu imvinu preduzeće, steklo iz sopstvenih izvora – kapitala,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iz tuđih – obaveza). Suština je u tome, što je i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jednoj i na drugoj strani bilansa dato stanje sredstava preduzeća, i to na levoj strani po njihovoj nameni iii funkciji, a na desnoj po njihovom poreklu. S obzirom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to da se sredstva posmatraju sa dva aspekta, prirodno je da zbir vrednosti dat sa dva aspekta bude jednak.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i/>
          <w:iCs/>
          <w:sz w:val="21"/>
        </w:rPr>
        <w:t>U teoriji i praksi se razlikuju nekoliko vrsta bilansa</w:t>
      </w:r>
      <w:proofErr w:type="gramStart"/>
      <w:r w:rsidRPr="00325DC8">
        <w:rPr>
          <w:rFonts w:ascii="Times New Roman" w:eastAsia="Times New Roman" w:hAnsi="Times New Roman" w:cs="Times New Roman"/>
          <w:b/>
          <w:bCs/>
          <w:i/>
          <w:iCs/>
          <w:sz w:val="21"/>
        </w:rPr>
        <w:t>: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1. Bilansi prema vremenu sastavljanja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o Početni bilans - sastavlja se na početku poslovanja, kada se naziva i osnivački bilans, iii na pocetku poslovne godine.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Krajnji bilans - se sastavlja na kraju poslovne godine, odnosno na zavrsetku obračunskog perioda.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i/>
          <w:iCs/>
          <w:sz w:val="21"/>
        </w:rPr>
        <w:t>2. Bilansi prema nameni i cilju sastavljanja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o Redovni bilans - se sastavlja u tačno odredenim vremenskim intervalima,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pocetku iii na kraju poslvnog perioda.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Bilans fuzije - se sastavlja prilikom spajanja dva iii vise preduzeća u jedno, iii prilikom pripajanja jednog preduzeća drugom.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Sanacioni bilans - sastavlja se u slučajevima kada preduzeće upada u poslovne teškoće i ostvaruje slab finansijski rezultat, pa mu treba pomoći, odnosno sanirati njegovu situaciju.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Likvidacioni bilans - sastavlja se prilikom prestanka rada preduzeća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o Deobni bilans - sastavljaju ga preduzeća kada dole do organizacionih promena odnosno do stvaranja novih preduzeća koja se izdvajaju iz okvira jednog preduzeca u samostalna.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Konsolidovani bilans - sastavlja se za složena preduzeća u kojem se eliminišu međusobni imovinsko-pravni odnosi svih preduzeća u okviru složenog sistema.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b/>
          <w:bCs/>
          <w:i/>
          <w:iCs/>
          <w:sz w:val="21"/>
        </w:rPr>
        <w:t>Bilans uspeha - kao osnovni finansijski izvestaj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Bilans uspeha prikazuje samo globalnu velicinu iii deo ukupnog rezultata ostvarenog u jednom periodu.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Orijentisan je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prikazivanje uspeha iskazivanjem ostvarenog uspeha po vrstama, visini i izvorima.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Bilans uspeha predstavlja osamostaljeni i razvijeni potkonto sopstvenog kapitala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kome su obuhvaceni svi prihodi i rashodi obraunskog perioda, na nain da se jasno uocavaju vrste, visina i izvori ostvarenog rezultata. Informacioni zahtev viasnika preduzeca, poverilaca, radnika i drugih ce biti manje iii vise zadovoljeni, u zavisnosti od iskazane moci koja je odredena formom, strukturom i sadrzinom ovog izvestaja,sto je povezanosa sledecim pitanjima: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1. izvor forme prikaza,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2. način ukljucivanja pozicija prihoda i rashoda,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3. način obraunavanja rezultata,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4. dubine rasčlanjivanja prihoda i rashoda.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Rashodi nastaju potrosnnjom aktive i povecanem obaveza; prihodi prouzrokuju povećčanje aktive iii smanjenje obaveza.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Medunarodni raunovodstveni standardi dozvoljavaju slobodu izbora izmedu kiasifikacije rashoda zasnovane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principu ukupnih troskova i na funkcionalnom principu.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Prema MRS minimum pozicija koje treba da budu prikazane u bilansu uspeha su: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prihod od prodaje - revenue,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rezultat poslovnih aktivnosti results of operating activities,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troskovi finansiranja - finance costs,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pripadajuci deo dobitka ili gubitak koji su ostvarila pridruzena preduzeca ili koji poticu iz zajednickih ulaganja - equity method,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porezi iz dobitka - tax expense,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dobitak ili gubitak iz redovnog poslovanja - profit or loss from ordinary activities,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vanredni prihodi i rashodi - extraordinary items,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manjinski interesi - minority interests,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neto dobit~e ili gubitak perioda - net profit or loss for the period.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Kada se uspeh utrvrduje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bazi metoda ukupnih troskova, u bilans uspeha se mora ukljuciti vrednost promene vrednosti zaliha. Ovo smanjenje ili povecanje se može ukljuciti u bilans uspeha po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: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bruto principu - koristeci podatke na kraju i na pocetku perioda i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br/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• neto principu - kao razlika pocetnih i krajnjih zaliha.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i/>
          <w:iCs/>
          <w:sz w:val="21"/>
        </w:rPr>
        <w:t>Podnošenje finansijskih izveštaja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Finansijski izveštaji dostavljaju se u skladu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Zakonom o računovodstvu i Pravilniku o uslovima i načinu javnog objavljivanja finansijskih izveštaja.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b/>
          <w:bCs/>
          <w:sz w:val="21"/>
        </w:rPr>
        <w:t>Finansijske izveštaje čine izveštaji za statističke potrebe (koji se ne objavljuju javno, već suže samo za potrebe statistike) i redovni godišnji finansijski izveštaji (FI za javno objavljivanje)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Finansijski izveštaji (za statističke potrebe i redovni godišnji izveštaji) dostavljaju se elektronskim putem preko posebnog informacionog sistema Agencije za privredne registre.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Finansijske izveštaje potisuje isključivo zastupnik/preduzetnik jedinstvenim ličnim elektronskim potpisom.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color w:val="800000"/>
          <w:sz w:val="21"/>
        </w:rPr>
        <w:t>Dostavljanje podataka za statističke i druge potrebe (krajnji rok kraj marta 31. mart tekuće godine</w:t>
      </w:r>
      <w:proofErr w:type="gramStart"/>
      <w:r w:rsidRPr="00325DC8">
        <w:rPr>
          <w:rFonts w:ascii="Times New Roman" w:eastAsia="Times New Roman" w:hAnsi="Times New Roman" w:cs="Times New Roman"/>
          <w:b/>
          <w:bCs/>
          <w:color w:val="800000"/>
          <w:sz w:val="21"/>
        </w:rPr>
        <w:t>  za</w:t>
      </w:r>
      <w:proofErr w:type="gramEnd"/>
      <w:r w:rsidRPr="00325DC8">
        <w:rPr>
          <w:rFonts w:ascii="Times New Roman" w:eastAsia="Times New Roman" w:hAnsi="Times New Roman" w:cs="Times New Roman"/>
          <w:b/>
          <w:bCs/>
          <w:color w:val="800000"/>
          <w:sz w:val="21"/>
        </w:rPr>
        <w:t xml:space="preserve"> prethodnu godinu)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Sva pravna lica i preduzetnici dužni su da dostave Agenciji za privredne registre Finansijske izveštaje za statističke potrebe: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Bilans stanja,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Bilans uspeha i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Statistički izveštaj.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b/>
          <w:bCs/>
          <w:sz w:val="21"/>
        </w:rPr>
        <w:t>Redovni godišnji finansijski izveštaji su izveštaji za javno objavljivanja.</w:t>
      </w:r>
      <w:proofErr w:type="gramEnd"/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 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Pravna lica, odnosno preduzetnici dužni su da sastavljaju redovne godišnje finansijske izveštaje za javno objavljivanje za poslovnu godinu koja je jednaka kalendarskoj u skladu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zakonom o računovodstvu i podzakonskim propisima donetim na osnovu ovog zakona. Izuzetno, zavisno pravno lice sa sedištem u Republici Srbiji čije matično pravno lice sa sedištem u inostranstvu ima poslovnu godinu različitu od kalendarske godine, može, uz saglasnost ministra nadležnog za poslove finansija, odnosno Narodne banke Srbije da sastavlja i objavljuje godišnje finansijske izveštaje sa stanjem na poslednji dan poslovne godine koja je različita od kalendarske.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U zavisnosti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toga da li izveštaje predaju velika, srednja, mala, mikro pravna lica ili preduzetnici, zavisi i set obrazaca koji obuhvata redovne finansijske izveštaje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1) </w:t>
      </w:r>
      <w:proofErr w:type="gramStart"/>
      <w:r w:rsidRPr="00325DC8">
        <w:rPr>
          <w:rFonts w:ascii="Times New Roman" w:eastAsia="Times New Roman" w:hAnsi="Times New Roman" w:cs="Times New Roman"/>
          <w:b/>
          <w:bCs/>
          <w:sz w:val="21"/>
        </w:rPr>
        <w:t>redovan</w:t>
      </w:r>
      <w:proofErr w:type="gramEnd"/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 godišnji finansijski izveštaj pravnih lica koja primenjuju MSFI, odnosno MSFI za MSP (za velika, srednja i malapreduzeća) obuhvata 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(1) </w:t>
      </w:r>
      <w:r w:rsidRPr="00325DC8">
        <w:rPr>
          <w:rFonts w:ascii="Times New Roman" w:eastAsia="Times New Roman" w:hAnsi="Times New Roman" w:cs="Times New Roman"/>
          <w:b/>
          <w:bCs/>
          <w:sz w:val="21"/>
        </w:rPr>
        <w:t>Bilans stanja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, koji predstavlja pregled imovine, obaveza i kapitala pravnog lica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određeni dan;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(2) </w:t>
      </w:r>
      <w:r w:rsidRPr="00325DC8">
        <w:rPr>
          <w:rFonts w:ascii="Times New Roman" w:eastAsia="Times New Roman" w:hAnsi="Times New Roman" w:cs="Times New Roman"/>
          <w:b/>
          <w:bCs/>
          <w:sz w:val="21"/>
        </w:rPr>
        <w:t>Bilans uspeha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, koji predstavlja pregled prihoda, rashoda i rezultata poslovanja nastalih u određenom periodu;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(3) </w:t>
      </w:r>
      <w:r w:rsidRPr="00325DC8">
        <w:rPr>
          <w:rFonts w:ascii="Times New Roman" w:eastAsia="Times New Roman" w:hAnsi="Times New Roman" w:cs="Times New Roman"/>
          <w:b/>
          <w:bCs/>
          <w:sz w:val="21"/>
        </w:rPr>
        <w:t>Izveštaj o ostalom rezultatu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, koji čine stavke prihoda i rashoda (uključujući i reklasifikacije usled korigovanja), koje nisu priznate u Bilansu uspeha, kako se zahteva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dozvoljava prema drugim MSFI (ovaj izveštaj se odnosi na preduzeća koja imaju hartije od vrednosti, ili vrše revalorizaciju imovine (tj. Ovaj izveštaj ukoliko preduzeće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nama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određenih promena u ovom smislu ostaje prazan – ne popunjava se);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(4) </w:t>
      </w:r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Izveštaj o promenama </w:t>
      </w:r>
      <w:proofErr w:type="gramStart"/>
      <w:r w:rsidRPr="00325DC8">
        <w:rPr>
          <w:rFonts w:ascii="Times New Roman" w:eastAsia="Times New Roman" w:hAnsi="Times New Roman" w:cs="Times New Roman"/>
          <w:b/>
          <w:bCs/>
          <w:sz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 kapitalu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, koji pruža informacije o promenama na kapitalu pravnih lica tokom izveštajnog perioda;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(5) </w:t>
      </w:r>
      <w:r w:rsidRPr="00325DC8">
        <w:rPr>
          <w:rFonts w:ascii="Times New Roman" w:eastAsia="Times New Roman" w:hAnsi="Times New Roman" w:cs="Times New Roman"/>
          <w:b/>
          <w:bCs/>
          <w:sz w:val="21"/>
        </w:rPr>
        <w:t>Izveštaj o tokovima gotovine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, koji pruža informacije o prilivima i odlivima gotovine i gotovinskih ekvivalenata tokom izveštajnog perioda;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(6) </w:t>
      </w:r>
      <w:r w:rsidRPr="00325DC8">
        <w:rPr>
          <w:rFonts w:ascii="Times New Roman" w:eastAsia="Times New Roman" w:hAnsi="Times New Roman" w:cs="Times New Roman"/>
          <w:b/>
          <w:bCs/>
          <w:sz w:val="21"/>
        </w:rPr>
        <w:t>Napomene uz finansijske izveštaje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, koje sadrže opise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ili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raščlanjavanja stavki obelodanjenih u izveštajima, primenjene računovodstvene politike, kao i informacije o stavkama koje se nisu kvalifikovale za priznavanje u ovim izveštajima, a značajne su za ocenu finansijskog položaja i uspešnosti poslovanja pravnog lica.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2) </w:t>
      </w:r>
      <w:proofErr w:type="gramStart"/>
      <w:r w:rsidRPr="00325DC8">
        <w:rPr>
          <w:rFonts w:ascii="Times New Roman" w:eastAsia="Times New Roman" w:hAnsi="Times New Roman" w:cs="Times New Roman"/>
          <w:b/>
          <w:bCs/>
          <w:sz w:val="21"/>
        </w:rPr>
        <w:t>redovan</w:t>
      </w:r>
      <w:proofErr w:type="gramEnd"/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 godišnji finansijski izveštaj drugih pravnih lica, osim drugih pravnih lica razvrstanih u mikro pravna lica obuhvata: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(1) Bilans stanja;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(2) Bilans uspeha;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(3) Napomene uz finansijske izveštaje;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3) </w:t>
      </w:r>
      <w:proofErr w:type="gramStart"/>
      <w:r w:rsidRPr="00325DC8">
        <w:rPr>
          <w:rFonts w:ascii="Times New Roman" w:eastAsia="Times New Roman" w:hAnsi="Times New Roman" w:cs="Times New Roman"/>
          <w:b/>
          <w:bCs/>
          <w:sz w:val="21"/>
        </w:rPr>
        <w:t>redovan</w:t>
      </w:r>
      <w:proofErr w:type="gramEnd"/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 godišnji finansijski izveštaj mikro pravnih lica i preduzetnika, obuhvata: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(1) Bilans stanja;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(2) Bilans uspeha;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Pravna lica i preduzetnici dužni su da za izveštajnu godinu dostave redovne finansijske izveštaje Agenciji za privredne registre, radi javnog objavljivanja, najkasnije do 30. </w:t>
      </w:r>
      <w:proofErr w:type="gramStart"/>
      <w:r w:rsidRPr="00325DC8">
        <w:rPr>
          <w:rFonts w:ascii="Times New Roman" w:eastAsia="Times New Roman" w:hAnsi="Times New Roman" w:cs="Times New Roman"/>
          <w:b/>
          <w:bCs/>
          <w:sz w:val="21"/>
        </w:rPr>
        <w:t>juna</w:t>
      </w:r>
      <w:proofErr w:type="gramEnd"/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 naredne godine.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Pravna lica, koja imaju poslovnu godinu različitu od kalendarske, dužna su da redovne godišnje finansijske izveštaje za izveštajnu godinu dostave Agenciji, radi javnog objavljivanja, najkasnije u roku od šest meseci od dana kada su ti izveštaji sastavljeni.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Pravna lica koja sastavljaju konsolidovane godišnje finansijske izveštaje (matična pravna lica) dužna su da konsolidovane godišnje finansijske izveštaje za izveštajnu godinu dostave Agenciji, radi javnog objavljivanja, najkasnije do 31.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jula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naredne godine, osim ako posebnim zakonom nije drukčije uređeno.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Pravna lica, odnosno preduzetnici koji sastavljaju vanredne finansijske izveštaje dužni su da ih dostave Agenciji, radi javnog objavljivanja, u roku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od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60 dana od dana na koji se ti izveštaji sastavljaju.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Vanredni FI obuhvata: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(1) Bilans stanja;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(2) Bilans uspeha.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Pravno lice koje nije imalo poslovnih događaja, niti u poslovnim knjigama ima podatke o imovini i obavezama, dužno je da do kraja februara naredne godine dostavi Agenciji izjavu o neaktivnosti koja se odnosi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izveštajnu godinu.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S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tim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u vezi, obveznici dostavljanja redovnih godišnjih finansijskih izveštaja su: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>privredna društva i zadruge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b/>
          <w:bCs/>
          <w:sz w:val="21"/>
        </w:rPr>
        <w:t>druga</w:t>
      </w:r>
      <w:proofErr w:type="gramEnd"/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 pravna lica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(političke organizacije, sindikalne organizacije sa svojstvom pravnog lica, fondacije i zadužbine, udruženja, komore, crkve i verske zajednice, u delu obavljanja privredne ili druge delatnosti u skladu sa propisima kojima je uređeno obavljanje tih delatnosti, i dr.),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>banke i druge finansijske institucije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nad kojima nadzor vrši Narodna banka Srbije,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>društva za osiguranje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>davaoci finansijskog liz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inga,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>dobrovoljni penzijski fondovi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, društva za upravljanje dobrovoljnim penzijskim fondovima,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>investicioni fondovi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i društva za upravljanje investicionim fondovima,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>berze i brokersko-dilerska društva,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>faktoring društva,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>ustanove koje obavljaju delatnost radi sticanja dobiti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pravna lica i drugi oblici organizovanja koje je pravno lice osnovalo u inostranstvu, 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ako za njih propisima tih država nije utvrđena obaveza vođenja poslovnih knjiga i sastavljanja finansijskih izveštaja,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b/>
          <w:bCs/>
          <w:sz w:val="21"/>
        </w:rPr>
        <w:t>ogranci i drugi organizacioni delovi stranih pravnih lica sa sedištem u inostranstvu, koji obavljaju privrednu delatnost u Republici Srbiji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,</w:t>
      </w:r>
    </w:p>
    <w:p w:rsidR="00325DC8" w:rsidRPr="00325DC8" w:rsidRDefault="00325DC8" w:rsidP="00325D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b/>
          <w:bCs/>
          <w:sz w:val="21"/>
        </w:rPr>
        <w:t>preduzetnici</w:t>
      </w:r>
      <w:proofErr w:type="gramEnd"/>
      <w:r w:rsidRPr="00325DC8">
        <w:rPr>
          <w:rFonts w:ascii="Times New Roman" w:eastAsia="Times New Roman" w:hAnsi="Times New Roman" w:cs="Times New Roman"/>
          <w:b/>
          <w:bCs/>
          <w:sz w:val="21"/>
        </w:rPr>
        <w:t xml:space="preserve"> koji vode dvojno knjigovodstvo</w:t>
      </w:r>
      <w:r w:rsidRPr="00325DC8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Preduzetnici koji vode dvojno knjigovodstvo dužni su da obavetste APR o tome najkasnije 60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dana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pre roka za podnošenje finansijskih izveštaja, a preduzetnici koji su prestali da vode dvojno knjigovodstvo takođe su dužni da obaveste APR o prestanku najkasnije 60 od prestanka vođenja dvojnog knjigovodstva.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b/>
          <w:bCs/>
          <w:i/>
          <w:iCs/>
          <w:sz w:val="21"/>
        </w:rPr>
        <w:t>Dostavljanje dokumentacije uz finansijske izveštaje.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Pravna lica dužna su da, uz redovne godišnje finansijske izveštaje, dostave i dokumentaciju uz finansijske izveštaje.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U originalu Agenciji se dostavlja: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1)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odluka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o usvajanju redovnih godišnjih finansijskih izveštaja;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2)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odluka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o raspodeli dobiti, odnosno pokriću gubitka po redovnom godišnjem finansijskom izveštaju -  ako je odlučeno da se dobit raspoređuje, odnosno  da se vrši pokriće gubitka, ili izjava da nije vršena raspodela dobiti odnosno pokriće gubitka.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Pravna lica, koja imaju obavezu revizije finansijskih izveštaja u skladu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zakonom kojim se uređuje revizija, dužna su da, pored dokumentacije iz stava 1.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dostave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u originalu Agenciji revizorski izveštaj, koji je sastavljen u skladu sa zakonom i međunarodnim standardima revizije, uz koji se prilažu finansijski izveštaji koji su bili predmet revizije.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Dokumentacija se takođe podnosi elektronskim putem ujedno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sa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redovnim finansijskim izveštajima. I to tako što se pre uvoza u posebni informacioni sistem potpiše kvalifikovanim elektronskim potpisom 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zastupnika  (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>istim kojim se potpisuju i FI).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1"/>
          <w:szCs w:val="21"/>
        </w:rPr>
        <w:t>Pravna lica i preduzetnici mogu do kraja februara podneti i izveštaje za statističke potrebe i redovne godišenje FI. Ili mogu podneti odvojeno do kraja februara izveštaje za statističke potrebe (BU</w:t>
      </w:r>
      <w:proofErr w:type="gramStart"/>
      <w:r w:rsidRPr="00325DC8">
        <w:rPr>
          <w:rFonts w:ascii="Times New Roman" w:eastAsia="Times New Roman" w:hAnsi="Times New Roman" w:cs="Times New Roman"/>
          <w:sz w:val="21"/>
          <w:szCs w:val="21"/>
        </w:rPr>
        <w:t>,BS</w:t>
      </w:r>
      <w:proofErr w:type="gramEnd"/>
      <w:r w:rsidRPr="00325DC8">
        <w:rPr>
          <w:rFonts w:ascii="Times New Roman" w:eastAsia="Times New Roman" w:hAnsi="Times New Roman" w:cs="Times New Roman"/>
          <w:sz w:val="21"/>
          <w:szCs w:val="21"/>
        </w:rPr>
        <w:t xml:space="preserve"> i SI), a do kraja juna za prethodnu godinu redovne godišnje finansijske izveštaje sa dokumentacijom.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ahoma" w:eastAsia="Times New Roman" w:hAnsi="Tahoma" w:cs="Tahoma"/>
          <w:color w:val="FF0000"/>
          <w:sz w:val="24"/>
          <w:szCs w:val="24"/>
        </w:rPr>
        <w:t>Obavezno samo za polaznike samostalni knjigovodja akademski 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ahoma" w:eastAsia="Times New Roman" w:hAnsi="Tahoma" w:cs="Tahoma"/>
          <w:color w:val="FF0000"/>
          <w:sz w:val="24"/>
          <w:szCs w:val="24"/>
        </w:rPr>
        <w:t>Napomena</w:t>
      </w:r>
      <w:proofErr w:type="gramStart"/>
      <w:r w:rsidRPr="00325DC8">
        <w:rPr>
          <w:rFonts w:ascii="Tahoma" w:eastAsia="Times New Roman" w:hAnsi="Tahoma" w:cs="Tahoma"/>
          <w:color w:val="FF0000"/>
          <w:sz w:val="24"/>
          <w:szCs w:val="24"/>
        </w:rPr>
        <w:t>:Za</w:t>
      </w:r>
      <w:proofErr w:type="gramEnd"/>
      <w:r w:rsidRPr="00325DC8">
        <w:rPr>
          <w:rFonts w:ascii="Tahoma" w:eastAsia="Times New Roman" w:hAnsi="Tahoma" w:cs="Tahoma"/>
          <w:color w:val="FF0000"/>
          <w:sz w:val="24"/>
          <w:szCs w:val="24"/>
        </w:rPr>
        <w:t>  polaznike samostalni knjigovodja klasični nema mentorske podrske</w:t>
      </w:r>
    </w:p>
    <w:p w:rsidR="00325DC8" w:rsidRPr="00325DC8" w:rsidRDefault="00325DC8" w:rsidP="00325D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25DC8">
        <w:rPr>
          <w:rFonts w:ascii="Times New Roman" w:eastAsia="Times New Roman" w:hAnsi="Times New Roman" w:cs="Times New Roman"/>
          <w:b/>
          <w:bCs/>
          <w:sz w:val="36"/>
          <w:szCs w:val="36"/>
        </w:rPr>
        <w:t>Poreski bilans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325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Obračun poreske osnovice poreza </w:t>
        </w:r>
        <w:proofErr w:type="gramStart"/>
        <w:r w:rsidRPr="00325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na</w:t>
        </w:r>
        <w:proofErr w:type="gramEnd"/>
        <w:r w:rsidRPr="00325D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dobit preduzeća</w:t>
        </w:r>
      </w:hyperlink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>PORESKI BILANS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Šta je poreski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bilans ?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Kad se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predaje ?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>Koji su obrasci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Na kraju svake poslovne godine, radi utvrđivanja obaveze za porez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dobit, pravna lica sastavljaju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poreski bilans i poresku prijavu poreza na dobit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Postoje posebni obrasci za pravna lica – privredna društva, koja su osnovana radi stvaranja dobiti kroz privrednu delatnost (preduzeća), a poseban za nedobitne organizacije.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U ovom tekstu bavimo se poreskim bilansom i poreskom prijavom za privredna društva (“dobitne organizacije”).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Oni popunjavaju i predaju obrazac poreskog bilansa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PB-1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> i poresku prijavu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PDP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 u roku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180 dana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 od kraja poslovne godine, dakle do 29.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juna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tekuće za prethodnu godinu.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Obrasci se predaju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elektronski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>, putem portala Poreske uprave ePorezi.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Osnovica za obračun poreza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dobit je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oporeziva dobit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 privrednog društva. Ona se ne nalazi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u jednom računovodstvenom izveštaju, već se dobija u posebnom postupku obračuna na obrascu poreskog bilansa. Možemo reći da je poreski bilans obrazac koji služi da se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njemu izračuna iznos oporezive dobiti, dok se iznos poreza obračunava u poreskoj prijavi.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>Obračun oporezive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dobiti polazi </w:t>
      </w:r>
      <w:proofErr w:type="gramStart"/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proofErr w:type="gramEnd"/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dobitka ili gubitka pre oporezivanja iz bilansa uspeha i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> podrazumeva da se on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koriguje (uskladi)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> na način propisan Zakonom o porezu na dobit pravnih lica.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Naime, Zakon za određene vrste troškova propisuje maksimalne iznose koji se mogu priznati, dok neke troškove uopšte ne priznaje prilikom obračuna oporezive dobiti.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Na primer, troškovi koji nisu adekvatno dokumentovani uopšte se ne priznaju, dok se troškovi reprezentacije priznaju samo do iznosa od 0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>% ukupnog prihoda.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Šta znači termin </w:t>
      </w:r>
      <w:r w:rsidRPr="00325DC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priznaje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Jednostavno, Zakon zahteva da se ovi troškovi ne uzmu u obzir prilikom obračuna oporezive dobit kao poreska osnovica, odnosno da se uzme samo deo ovih troškova, iako su oni tokom godine evidentirani u knjigovodstvu pravnog lica.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Oporeziva dobit (poreska osnovica) biće veća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dobiti pre oporezivanja iz bilansa uspeha za iznos troškova koji se ne priznaju. Odnosno, ovi troškovi neće uticati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smanjenje poreske osnovice, kao da nisu ni nastali.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Korekcije rashoda uređene su članovima 7-22 Zakona o porezu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dobit pravnih lica.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Iz broja članova može se naslutiti koliko je ova materija detaljna i obimna.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Pored troškova, potrebno je uskladiti i prihode.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Usklađivanje prihoda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>je znatno manjeg obima, i uređeno je članovima 23-26 Zakona.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U poreskom bilansu svaka korekcija unosi se u odgovarajući red u tabeli.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Na kraju obrasca poreskog bilansa dobija se oporeziva dobit kao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rezultat svih usklađivanja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> rashoda i prihoda iz računovodstvene evidencije.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Ova veličina prenosi se u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poresku prijavu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>, u kojoj se dalje vrši obračun poreza.</w:t>
      </w:r>
      <w:proofErr w:type="gramEnd"/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>Pored poreske obaveze, u poreskoj prijavi vrši se i obračun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mesečne akontacije poreza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 koju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firma nadalje plaćati sve do predaje naredne poreske prijave.</w:t>
      </w:r>
    </w:p>
    <w:p w:rsidR="00325DC8" w:rsidRPr="00325DC8" w:rsidRDefault="00325DC8" w:rsidP="00325D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Možemo zaključiti da se zbog obaveze usklađivanja dobiti dobijene računovodstvenim propisima, poreska osnovica poreza </w:t>
      </w:r>
      <w:proofErr w:type="gramStart"/>
      <w:r w:rsidRPr="00325DC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 xml:space="preserve"> dobit može znatno razlikovati od dobiti iz bilansa uspeha. Čak se može desiti i da firma koja je poslovala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 </w:t>
      </w:r>
      <w:proofErr w:type="gramStart"/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gubitkom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325DC8">
        <w:rPr>
          <w:rFonts w:ascii="Times New Roman" w:eastAsia="Times New Roman" w:hAnsi="Times New Roman" w:cs="Times New Roman"/>
          <w:sz w:val="24"/>
          <w:szCs w:val="24"/>
        </w:rPr>
        <w:t>prikazuje gubitak pre oporezivanja u bilansu uspeha) </w:t>
      </w:r>
      <w:r w:rsidRPr="00325DC8">
        <w:rPr>
          <w:rFonts w:ascii="Times New Roman" w:eastAsia="Times New Roman" w:hAnsi="Times New Roman" w:cs="Times New Roman"/>
          <w:b/>
          <w:bCs/>
          <w:sz w:val="24"/>
          <w:szCs w:val="24"/>
        </w:rPr>
        <w:t>plati porez na dobit</w:t>
      </w:r>
      <w:r w:rsidRPr="00325DC8">
        <w:rPr>
          <w:rFonts w:ascii="Times New Roman" w:eastAsia="Times New Roman" w:hAnsi="Times New Roman" w:cs="Times New Roman"/>
          <w:sz w:val="24"/>
          <w:szCs w:val="24"/>
        </w:rPr>
        <w:t>, a sve ukoliko bi postojao visok iznos troškova koji se za potrebe obračuna poreske osnovice ne priznaje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6E07"/>
    <w:multiLevelType w:val="multilevel"/>
    <w:tmpl w:val="E11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325DC8"/>
    <w:rsid w:val="00325DC8"/>
    <w:rsid w:val="007015E6"/>
    <w:rsid w:val="0074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2">
    <w:name w:val="heading 2"/>
    <w:basedOn w:val="Normal"/>
    <w:link w:val="Heading2Char"/>
    <w:uiPriority w:val="9"/>
    <w:qFormat/>
    <w:rsid w:val="00325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25D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2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5DC8"/>
    <w:rPr>
      <w:i/>
      <w:iCs/>
    </w:rPr>
  </w:style>
  <w:style w:type="character" w:styleId="Strong">
    <w:name w:val="Strong"/>
    <w:basedOn w:val="DefaultParagraphFont"/>
    <w:uiPriority w:val="22"/>
    <w:qFormat/>
    <w:rsid w:val="00325DC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5D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kursevi.rs/wp-content/uploads/2013/12/Obra&#269;un-poreske-osnovice-poreza-na-dobit-preduze&#263;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2705</Words>
  <Characters>15425</Characters>
  <Application>Microsoft Office Word</Application>
  <DocSecurity>0</DocSecurity>
  <Lines>128</Lines>
  <Paragraphs>36</Paragraphs>
  <ScaleCrop>false</ScaleCrop>
  <Company/>
  <LinksUpToDate>false</LinksUpToDate>
  <CharactersWithSpaces>18094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2025-08-27T21:33:00Z</dcterms:created>
  <dcterms:modified xsi:type="dcterms:W3CDTF">2025-08-27T21:34:00Z</dcterms:modified>
</cp:coreProperties>
</file>