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85" w:rsidRPr="00E22185" w:rsidRDefault="00E22185" w:rsidP="00E22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</w:rPr>
        <w:t>skladištenje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</w:rPr>
        <w:t>loekcija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</w:rPr>
        <w:t>Ovlašćeni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</w:rPr>
        <w:t>knjigovodja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</w:rPr>
        <w:t>napreni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odobriti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smeštaj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: a)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strane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tom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slučaju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podleže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plaćanju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uvoznih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dažbina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b)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domaće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namenjene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smeštajem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podleže</w:t>
      </w:r>
      <w:proofErr w:type="spellEnd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primeni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mera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primenjuju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mesto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gde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smesti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 u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propisanim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uslovima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odobri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organ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pod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nadzorom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Vrste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E22185" w:rsidRPr="00E22185" w:rsidRDefault="00E22185" w:rsidP="00E221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Javno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kome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treća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lica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mogu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skladištiti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svoju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E22185" w:rsidRPr="00E22185" w:rsidRDefault="00E22185" w:rsidP="00E221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Privatno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(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namenjeno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držaoca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).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Držalac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lice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dobilo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odobrenje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upravlja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organa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nakon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podnošenja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pismenog</w:t>
      </w:r>
      <w:proofErr w:type="spellEnd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zahteva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organu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Odobrenje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upravljanje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licima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sedištem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prebivalištem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srbiji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sadruži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uslove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upravljanje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Odobrenjem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određuje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vrsta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uslovi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pod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držalac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upravlja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vrsta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smestiti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druge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obaveze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držaoca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organu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smeštena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uzima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premešta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mera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nadzora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ni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slučaju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smeštena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prodavati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iznositi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 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Držalac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odgovoran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ispunjenje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proizilaze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kao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ispunjenje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posebnih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uslova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sadržanih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odobrenju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upravljanje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organ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takođe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zatražiti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držaoca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polaganje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obezbeđenja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će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ispuniti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navedene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obaveze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otvaranje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upravljanje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carinskim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skladištem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uz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pismeni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zahtev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carinkom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organu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podnose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: </w:t>
      </w:r>
    </w:p>
    <w:p w:rsidR="00E22185" w:rsidRPr="00E22185" w:rsidRDefault="00E22185" w:rsidP="00E22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Dokaz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registraciji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APR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PIB-a</w:t>
      </w:r>
    </w:p>
    <w:p w:rsidR="00E22185" w:rsidRPr="00E22185" w:rsidRDefault="00E22185" w:rsidP="00E22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Dokaz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korišćenje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prostora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namenjenog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zakup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prostora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svojine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sl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>.)</w:t>
      </w:r>
    </w:p>
    <w:p w:rsidR="00E22185" w:rsidRPr="00E22185" w:rsidRDefault="00E22185" w:rsidP="00E22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Skica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tehnički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opis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prostorija</w:t>
      </w:r>
      <w:proofErr w:type="spellEnd"/>
    </w:p>
    <w:p w:rsidR="00E22185" w:rsidRPr="00E22185" w:rsidRDefault="00E22185" w:rsidP="00E22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Dokaz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tehnički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osposobljeno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sprovođenje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mera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nadzora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kontrole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rampa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pregled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reflektori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vaga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druga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odgovarajuća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oprema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pregled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prateći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objekti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E22185" w:rsidRPr="00E22185" w:rsidRDefault="00E22185" w:rsidP="00E221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Izjava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osposobljen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prostorije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oprema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službenika</w:t>
      </w:r>
      <w:proofErr w:type="spellEnd"/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2. REEXPORT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Prema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odredbi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člana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71.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tačka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 2)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spoljnotrgovinskom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poslovanju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domaće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lice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plaćenu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mora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uveze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ako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unosi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zemlju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prvom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drugom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I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nalazi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smeštanja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–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tranzit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robe)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II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: (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unosi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zemlju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drugom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postupku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smešta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skladu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sa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carinskim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propisima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dalje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izvozi</w:t>
      </w:r>
      <w:proofErr w:type="spellEnd"/>
      <w:r w:rsidRPr="00E22185">
        <w:rPr>
          <w:rFonts w:ascii="Times New Roman" w:eastAsia="Times New Roman" w:hAnsi="Times New Roman" w:cs="Times New Roman"/>
          <w:color w:val="993366"/>
          <w:sz w:val="21"/>
          <w:szCs w:val="21"/>
        </w:rPr>
        <w:t>)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unosi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daljeg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obzira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li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smeštena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drugom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upitanju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tranzit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direktno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dobavljača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kupcu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lastRenderedPageBreak/>
        <w:t>smeštanja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),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podleže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obravezi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PDV.  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mesto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prometa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ove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navodi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račun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stavlja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napomena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poreskom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oslobođenju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: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Oslobođeno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odbitak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predhodnog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poreza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Član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24.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PDV-u).</w:t>
      </w:r>
      <w:proofErr w:type="gramEnd"/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slučajevima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unosa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ponovnog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carinarnica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sprovodi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stavljanja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 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sprovođenje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potrebno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nadležnom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organu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podneti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zahtev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Zahtev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podnosi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agent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popunjava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ga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pravilnikom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organ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ukoliko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ispunjeni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svi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uslovi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odobrava</w:t>
      </w:r>
      <w:proofErr w:type="spellEnd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sprovođenje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Pri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tome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odredbama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pravilnika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popnjavanja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JCI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sprovođenje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rubliku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 –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deklaracija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unosi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UV-7.</w:t>
      </w:r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podnosi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JCI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ponovni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IZ-3.</w:t>
      </w:r>
      <w:proofErr w:type="gramEnd"/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zakonom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uvozi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a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prelazi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područja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Republike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Srbije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tranzitni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sprovodi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85">
        <w:rPr>
          <w:rFonts w:ascii="Times New Roman" w:eastAsia="Times New Roman" w:hAnsi="Times New Roman" w:cs="Times New Roman"/>
          <w:sz w:val="21"/>
          <w:szCs w:val="21"/>
        </w:rPr>
        <w:t>KPR, KIR I PPPDV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popunjavanja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KPR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iznos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naknade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dinarskojprotivvrednosti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upisuje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kolonu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10 -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naknada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uvezena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dobra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ne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PDV).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popunjavanja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KIR-a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iznos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izvezenu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upisuje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kolonu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10 -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promet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popunjavanja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PPPDV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prijave</w:t>
      </w:r>
      <w:proofErr w:type="spellEnd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iznos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dinarske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protivvrednosti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prodaji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upisuje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kolonu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001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promet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dobara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odbitak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predhodnog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poreza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kao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što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bi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upisao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;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iznos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naknade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(u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dinarskojprotivvrednosti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nabavke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upisuje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kolonu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008.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Dvojno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knjiovodstvo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pravilniku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kontnom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okviru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vrednost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uvozi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smešta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Reexport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postupku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carinskog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(II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postupak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))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iskazuje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</w:t>
      </w:r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  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računu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133–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 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stovarištu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prodavnici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drugih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pravnih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lica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preduzetnika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analitka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1331 -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carinskom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),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Pravilniku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kontnom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okviru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sadržini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računa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kontnom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okviru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privredna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društva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zadruge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preduzetnike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vrednost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računu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- (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Reexport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u I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postupaku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)</w:t>
      </w:r>
      <w:proofErr w:type="gram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)</w:t>
      </w:r>
      <w:r w:rsidRPr="00E22185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iskazuje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računu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136 –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tranzitu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Trgovina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tranzitu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kupovina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drugom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kupcu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skladištenja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Specifičnost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Reexport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u I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>postupaku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)</w:t>
      </w:r>
      <w:proofErr w:type="gramEnd"/>
    </w:p>
    <w:p w:rsidR="00E22185" w:rsidRPr="00E22185" w:rsidRDefault="00E22185" w:rsidP="00E22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Ipak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kada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upitanju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posao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iako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spoljnotrgovisnkom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odvija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kupovina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njena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dalja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bez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unosa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date robe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Srbiju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)</w:t>
      </w:r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 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vrstu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važno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skladu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spoljnotrgovisnkim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deviznim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propisima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važe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RS. To se pre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svega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odnosi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E22185" w:rsidRPr="00E22185" w:rsidRDefault="00E22185" w:rsidP="00E221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Obavezu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obaveštavanja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Ministarstva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ekonomije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regionalnog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razvoja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zaključenom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spoljnotrgovisnkom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reexporta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kao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prestanku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propianim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obrazcima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:  (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>dopis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>Ministarstvu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 xml:space="preserve"> </w:t>
      </w:r>
      <w:r w:rsidRPr="00E22185"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obaveštenje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nalazi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neposredno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 ;  </w:t>
      </w:r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 xml:space="preserve">u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>obaveštenju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>mora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>stajati</w:t>
      </w:r>
      <w:proofErr w:type="spellEnd"/>
      <w:r w:rsidRPr="00E22185">
        <w:rPr>
          <w:rFonts w:ascii="Times New Roman" w:eastAsia="Times New Roman" w:hAnsi="Times New Roman" w:cs="Times New Roman"/>
          <w:b/>
          <w:bCs/>
          <w:sz w:val="21"/>
          <w:u w:val="single"/>
        </w:rPr>
        <w:t xml:space="preserve">: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naziv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tariifna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oznaka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količina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zemlja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porekla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nabavna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vrednost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valuti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kojoj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vrši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plaćanje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zemlja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prodajna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vrednost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valuti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kojoj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vrši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naplata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datum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mesto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ime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prezime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potpis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pečat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ovlašćenog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lica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dokazi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Ugovor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kupopordaji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partnerom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kome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roba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overen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prevod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ugovora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dobavljačem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Ministarstvo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finansija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obaveštenja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preduzeću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podnelo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obaveštenje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izdaje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potvrdu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izvršenom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evidentiranju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spoljnotrgovinskog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Obavezu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vođenja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kontrolnika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uvoza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</w:t>
      </w:r>
    </w:p>
    <w:p w:rsidR="00E22185" w:rsidRPr="00E22185" w:rsidRDefault="00E22185" w:rsidP="00E221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Obaveza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unošenja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deviza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Srbiju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roku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180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dana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prodaje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nalazi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neposredno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naplate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nalogu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naplatu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obrazac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60)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kao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osnov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naplate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navodi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šifra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: 312 (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plaćanje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robe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nalazi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neposredno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isporučuje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22185" w:rsidRPr="00E22185" w:rsidRDefault="00E22185" w:rsidP="00E221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Poslovna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E22185">
        <w:rPr>
          <w:rFonts w:ascii="Times New Roman" w:eastAsia="Times New Roman" w:hAnsi="Times New Roman" w:cs="Times New Roman"/>
          <w:sz w:val="21"/>
          <w:szCs w:val="21"/>
        </w:rPr>
        <w:t>banka</w:t>
      </w:r>
      <w:proofErr w:type="spellEnd"/>
      <w:proofErr w:type="gram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prilikom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izdavanja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naloga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naplatu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inostranstva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zahteva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klijenta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kopiju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potvrde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o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evidentiranju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koju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izdaje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E22185">
        <w:rPr>
          <w:rFonts w:ascii="Times New Roman" w:eastAsia="Times New Roman" w:hAnsi="Times New Roman" w:cs="Times New Roman"/>
          <w:sz w:val="21"/>
          <w:szCs w:val="21"/>
        </w:rPr>
        <w:t>Ministarstvo</w:t>
      </w:r>
      <w:proofErr w:type="spellEnd"/>
      <w:r w:rsidRPr="00E2218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2168"/>
    <w:multiLevelType w:val="multilevel"/>
    <w:tmpl w:val="B768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E2183"/>
    <w:multiLevelType w:val="multilevel"/>
    <w:tmpl w:val="C054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74AA3"/>
    <w:multiLevelType w:val="multilevel"/>
    <w:tmpl w:val="195E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22185"/>
    <w:rsid w:val="007015E6"/>
    <w:rsid w:val="00E22185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185"/>
    <w:rPr>
      <w:b/>
      <w:bCs/>
    </w:rPr>
  </w:style>
  <w:style w:type="character" w:styleId="Emphasis">
    <w:name w:val="Emphasis"/>
    <w:basedOn w:val="DefaultParagraphFont"/>
    <w:uiPriority w:val="20"/>
    <w:qFormat/>
    <w:rsid w:val="00E22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2025-09-18T14:04:00Z</dcterms:created>
  <dcterms:modified xsi:type="dcterms:W3CDTF">2025-09-18T14:05:00Z</dcterms:modified>
</cp:coreProperties>
</file>