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53" w:rsidRPr="00F16C53" w:rsidRDefault="00F16C53" w:rsidP="00F16C53">
      <w:pPr>
        <w:shd w:val="clear" w:color="auto" w:fill="FFFFFF"/>
        <w:spacing w:after="120" w:line="36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D23232"/>
        </w:rPr>
      </w:pPr>
      <w:proofErr w:type="spellStart"/>
      <w:r w:rsidRPr="00F16C53">
        <w:rPr>
          <w:rFonts w:ascii="Arial" w:eastAsia="Times New Roman" w:hAnsi="Arial" w:cs="Arial"/>
          <w:b/>
          <w:bCs/>
          <w:color w:val="D23232"/>
        </w:rPr>
        <w:t>Poslovne</w:t>
      </w:r>
      <w:proofErr w:type="spellEnd"/>
      <w:r w:rsidRPr="00F16C53">
        <w:rPr>
          <w:rFonts w:ascii="Arial" w:eastAsia="Times New Roman" w:hAnsi="Arial" w:cs="Arial"/>
          <w:b/>
          <w:bCs/>
          <w:color w:val="D23232"/>
        </w:rPr>
        <w:t xml:space="preserve"> </w:t>
      </w:r>
      <w:proofErr w:type="spellStart"/>
      <w:r w:rsidRPr="00F16C53">
        <w:rPr>
          <w:rFonts w:ascii="Arial" w:eastAsia="Times New Roman" w:hAnsi="Arial" w:cs="Arial"/>
          <w:b/>
          <w:bCs/>
          <w:color w:val="D23232"/>
        </w:rPr>
        <w:t>promene</w:t>
      </w:r>
      <w:proofErr w:type="spellEnd"/>
      <w:r w:rsidRPr="00F16C53">
        <w:rPr>
          <w:rFonts w:ascii="Arial" w:eastAsia="Times New Roman" w:hAnsi="Arial" w:cs="Arial"/>
          <w:b/>
          <w:bCs/>
          <w:color w:val="D23232"/>
        </w:rPr>
        <w:t xml:space="preserve"> </w:t>
      </w:r>
      <w:proofErr w:type="spellStart"/>
      <w:r w:rsidRPr="00F16C53">
        <w:rPr>
          <w:rFonts w:ascii="Arial" w:eastAsia="Times New Roman" w:hAnsi="Arial" w:cs="Arial"/>
          <w:b/>
          <w:bCs/>
          <w:color w:val="D23232"/>
        </w:rPr>
        <w:t>koje</w:t>
      </w:r>
      <w:proofErr w:type="spellEnd"/>
      <w:r w:rsidRPr="00F16C53">
        <w:rPr>
          <w:rFonts w:ascii="Arial" w:eastAsia="Times New Roman" w:hAnsi="Arial" w:cs="Arial"/>
          <w:b/>
          <w:bCs/>
          <w:color w:val="D23232"/>
        </w:rPr>
        <w:t xml:space="preserve"> se ne </w:t>
      </w:r>
      <w:proofErr w:type="spellStart"/>
      <w:r w:rsidRPr="00F16C53">
        <w:rPr>
          <w:rFonts w:ascii="Arial" w:eastAsia="Times New Roman" w:hAnsi="Arial" w:cs="Arial"/>
          <w:b/>
          <w:bCs/>
          <w:color w:val="D23232"/>
        </w:rPr>
        <w:t>evidentiraju</w:t>
      </w:r>
      <w:proofErr w:type="spellEnd"/>
      <w:r w:rsidRPr="00F16C53">
        <w:rPr>
          <w:rFonts w:ascii="Arial" w:eastAsia="Times New Roman" w:hAnsi="Arial" w:cs="Arial"/>
          <w:b/>
          <w:bCs/>
          <w:color w:val="D23232"/>
        </w:rPr>
        <w:t xml:space="preserve"> u POPDV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30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1)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Naknada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štete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2)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Zatezne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kamate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ugovorene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kazne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zbog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neblagovremenog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plaćanja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30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3)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Novčane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donacije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4)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Novčane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subvencije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ne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predstavljaju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deo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naknade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promet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5)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D</w:t>
      </w:r>
      <w:r w:rsidRPr="00F16C53">
        <w:rPr>
          <w:rFonts w:ascii="Arial" w:hAnsi="Arial" w:cs="Arial"/>
          <w:b/>
          <w:bCs/>
          <w:color w:val="333333"/>
          <w:sz w:val="22"/>
          <w:szCs w:val="22"/>
        </w:rPr>
        <w:t>epoziti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viđenju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depoziti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kao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garancija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kamata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depozite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viđenju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6)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Javni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prihodi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 –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takse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naknade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porezi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sl</w:t>
      </w:r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>.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7)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Zarada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druga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primanja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radnog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odnosa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8)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Novčana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sredstva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naplaćena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u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ime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i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za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račun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drugog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lica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r w:rsidRPr="00F16C53">
        <w:rPr>
          <w:rFonts w:ascii="Arial" w:hAnsi="Arial" w:cs="Arial"/>
          <w:color w:val="333333"/>
          <w:sz w:val="22"/>
          <w:szCs w:val="22"/>
        </w:rPr>
        <w:t>(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važi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lice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vrši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naplatu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lice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kome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je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izvršena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vrši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evidentiranje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9)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Prihodi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rashodi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osnovu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kursnih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razlika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valutne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klauzule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slično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10)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Promet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bez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naknade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je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mesto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prometa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inostranstvo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(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samo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„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izlazni</w:t>
      </w:r>
      <w:proofErr w:type="spellEnd"/>
      <w:proofErr w:type="gram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“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promet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>, „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ulazni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“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promet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se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evidentira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polje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8d.3)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11)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Promet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se </w:t>
      </w:r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ne</w:t>
      </w:r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izjednačava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prometom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uz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naknadu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jer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prilikom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nabavke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nije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postojalo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pravo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na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odbitak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prethodnog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poreza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: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uzimanje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upotreba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lične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potrebe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osnivača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vlasnika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zaposlenih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drugih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lica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manjak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pokloni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rashod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iznad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količine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utvrđene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fldChar w:fldCharType="begin"/>
      </w:r>
      <w:r w:rsidRPr="00F16C53">
        <w:rPr>
          <w:rFonts w:ascii="Arial" w:hAnsi="Arial" w:cs="Arial"/>
          <w:color w:val="333333"/>
          <w:sz w:val="22"/>
          <w:szCs w:val="22"/>
        </w:rPr>
        <w:instrText xml:space="preserve"> HYPERLINK "https://www.neobilten.com/uredba-o-kolicini-rashoda-kalo-rastur-kvar-i-lom-na-koji-se-ne-placa-porez-na-dodatu-vrednost/" </w:instrText>
      </w:r>
      <w:r w:rsidRPr="00F16C53">
        <w:rPr>
          <w:rFonts w:ascii="Arial" w:hAnsi="Arial" w:cs="Arial"/>
          <w:color w:val="333333"/>
          <w:sz w:val="22"/>
          <w:szCs w:val="22"/>
        </w:rPr>
        <w:fldChar w:fldCharType="separate"/>
      </w:r>
      <w:r w:rsidRPr="00F16C53">
        <w:rPr>
          <w:rStyle w:val="Hyperlink"/>
          <w:rFonts w:ascii="Arial" w:hAnsi="Arial" w:cs="Arial"/>
          <w:color w:val="D23232"/>
          <w:sz w:val="22"/>
          <w:szCs w:val="22"/>
          <w:bdr w:val="none" w:sz="0" w:space="0" w:color="auto" w:frame="1"/>
        </w:rPr>
        <w:t>Uredbom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fldChar w:fldCharType="end"/>
      </w:r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upotreba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neposlovne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svrhe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(ne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vrši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se u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cilju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povećanja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prihoda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odnosno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smanjenja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rashoda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30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12)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Uzimanje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upotreba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poslovne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svrhe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30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13)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Pružanje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bez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naknade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poslovne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svrhe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(u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cilju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povećanja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prihoda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odnosno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smanjenja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rashoda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14)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Manjak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se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može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pravdati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višom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silom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drugi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propisani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način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(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elementarna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nepogoda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krađa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saobraćajni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udes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dr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),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utvrđen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osnovu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akta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nadležnog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organa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odnosno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organizacije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15)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Rashod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 do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količine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utvrđene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fldChar w:fldCharType="begin"/>
      </w:r>
      <w:r w:rsidRPr="00F16C53">
        <w:rPr>
          <w:rFonts w:ascii="Arial" w:hAnsi="Arial" w:cs="Arial"/>
          <w:color w:val="333333"/>
          <w:sz w:val="22"/>
          <w:szCs w:val="22"/>
        </w:rPr>
        <w:instrText xml:space="preserve"> HYPERLINK "https://www.neobilten.com/uredba-o-kolicini-rashoda-kalo-rastur-kvar-i-lom-na-koji-se-ne-placa-porez-na-dodatu-vrednost/" </w:instrText>
      </w:r>
      <w:r w:rsidRPr="00F16C53">
        <w:rPr>
          <w:rFonts w:ascii="Arial" w:hAnsi="Arial" w:cs="Arial"/>
          <w:color w:val="333333"/>
          <w:sz w:val="22"/>
          <w:szCs w:val="22"/>
        </w:rPr>
        <w:fldChar w:fldCharType="separate"/>
      </w:r>
      <w:r w:rsidRPr="00F16C53">
        <w:rPr>
          <w:rStyle w:val="Hyperlink"/>
          <w:rFonts w:ascii="Arial" w:hAnsi="Arial" w:cs="Arial"/>
          <w:color w:val="D23232"/>
          <w:sz w:val="22"/>
          <w:szCs w:val="22"/>
          <w:bdr w:val="none" w:sz="0" w:space="0" w:color="auto" w:frame="1"/>
        </w:rPr>
        <w:t>Uredbom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fldChar w:fldCharType="end"/>
      </w:r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odnosno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rashod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nastao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usled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dejstva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više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sile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proteka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roka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trajanja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proizvoda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(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ako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ispunjeni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uslovi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člana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5.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Uredbe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16)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Članarine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ne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predstavljaju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naknadu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promet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17)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Refundacija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troškova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(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prefakturisani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troškovi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ne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predstavljaju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naknadu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deo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naknade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izvršeni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promet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18)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Knjižno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odobrenje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ili</w:t>
      </w:r>
      <w:proofErr w:type="spellEnd"/>
      <w:proofErr w:type="gram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zaduženje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ino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dobavljača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osnovu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prethodnog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uvoza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robe</w:t>
      </w:r>
      <w:r w:rsidRPr="00F16C53">
        <w:rPr>
          <w:rFonts w:ascii="Arial" w:hAnsi="Arial" w:cs="Arial"/>
          <w:color w:val="333333"/>
          <w:sz w:val="22"/>
          <w:szCs w:val="22"/>
        </w:rPr>
        <w:t> (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kada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carinski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organ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nije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doneo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odluku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o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smanjenju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povećanju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osnovice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PDV)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lastRenderedPageBreak/>
        <w:t xml:space="preserve">19)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Vrednosni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vaučeri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(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poklon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čestitke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poklon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vaučeri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20)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Avans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sticanje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celokupne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odnosno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dela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imovine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skladu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sa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članom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6. </w:t>
      </w:r>
      <w:proofErr w:type="spellStart"/>
      <w:proofErr w:type="gram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stav</w:t>
      </w:r>
      <w:proofErr w:type="spellEnd"/>
      <w:proofErr w:type="gram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1. </w:t>
      </w:r>
      <w:proofErr w:type="spellStart"/>
      <w:proofErr w:type="gram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tačka</w:t>
      </w:r>
      <w:proofErr w:type="spellEnd"/>
      <w:proofErr w:type="gram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1)</w:t>
      </w:r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Zakona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o PDV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nabavku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skladu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članom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6a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Zakona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o PDV (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samo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„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ulazni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“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promet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, „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izlazni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“ se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evidentira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u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polje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11.2)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21)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Avans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nabavke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oslobođene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PDV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člana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24. </w:t>
      </w:r>
      <w:proofErr w:type="spellStart"/>
      <w:proofErr w:type="gram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i</w:t>
      </w:r>
      <w:proofErr w:type="spellEnd"/>
      <w:proofErr w:type="gram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25.</w:t>
      </w:r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Zakona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o PDV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22)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Avans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nabavku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polja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8d.1, 8d.2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i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8d.3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23)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Avans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nabavku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od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poljoprivrednika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(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deo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7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obrasca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POPDV)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30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 xml:space="preserve">24)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Računi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ne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glase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na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obveznika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PDV (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npr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računi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za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smeštaj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prevoz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službenom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putu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koji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glase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na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fizičko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lice)</w:t>
      </w:r>
    </w:p>
    <w:p w:rsidR="00F16C53" w:rsidRPr="00F16C53" w:rsidRDefault="00F16C53" w:rsidP="00F16C5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16C53">
        <w:rPr>
          <w:rFonts w:ascii="Arial" w:hAnsi="Arial" w:cs="Arial"/>
          <w:color w:val="333333"/>
          <w:sz w:val="22"/>
          <w:szCs w:val="22"/>
        </w:rPr>
        <w:t>25)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Nabavke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iz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polja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8a.1, 8a.2, 8a.3, 8a.4, 8v.1, 8v.2, 8v.3, 8d.1, 8d.2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i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8d.3</w:t>
      </w:r>
      <w:r w:rsidRPr="00F16C53">
        <w:rPr>
          <w:rFonts w:ascii="Arial" w:hAnsi="Arial" w:cs="Arial"/>
          <w:color w:val="333333"/>
          <w:sz w:val="22"/>
          <w:szCs w:val="22"/>
        </w:rPr>
        <w:t xml:space="preserve"> –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ako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ne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postoji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račun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proofErr w:type="gram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drugi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dokument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postoji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drugi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dokument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bez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podatka</w:t>
      </w:r>
      <w:proofErr w:type="spellEnd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o </w:t>
      </w:r>
      <w:proofErr w:type="spellStart"/>
      <w:r w:rsidRPr="00F16C53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vrednosti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dobara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ili</w:t>
      </w:r>
      <w:proofErr w:type="spellEnd"/>
      <w:r w:rsidRPr="00F16C53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F16C53">
        <w:rPr>
          <w:rFonts w:ascii="Arial" w:hAnsi="Arial" w:cs="Arial"/>
          <w:color w:val="333333"/>
          <w:sz w:val="22"/>
          <w:szCs w:val="22"/>
        </w:rPr>
        <w:t>usluga</w:t>
      </w:r>
      <w:proofErr w:type="spellEnd"/>
    </w:p>
    <w:p w:rsidR="00456196" w:rsidRPr="00F16C53" w:rsidRDefault="00456196" w:rsidP="00F16C53">
      <w:pPr>
        <w:spacing w:line="360" w:lineRule="auto"/>
        <w:rPr>
          <w:rFonts w:ascii="Arial" w:hAnsi="Arial" w:cs="Arial"/>
        </w:rPr>
      </w:pPr>
    </w:p>
    <w:sectPr w:rsidR="00456196" w:rsidRPr="00F16C53" w:rsidSect="0045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6C53"/>
    <w:rsid w:val="00456196"/>
    <w:rsid w:val="00F1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96"/>
  </w:style>
  <w:style w:type="paragraph" w:styleId="Heading2">
    <w:name w:val="heading 2"/>
    <w:basedOn w:val="Normal"/>
    <w:link w:val="Heading2Char"/>
    <w:uiPriority w:val="9"/>
    <w:qFormat/>
    <w:rsid w:val="00F16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6C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C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6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2019-10-18T23:28:00Z</dcterms:created>
  <dcterms:modified xsi:type="dcterms:W3CDTF">2019-10-18T23:29:00Z</dcterms:modified>
</cp:coreProperties>
</file>