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Uvod u međudividende i njihova isplata članovima DOO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Osnovna procedura za isplatu međudividende predstavlja isplatu dela dobiti tokom tekuće poslovne godine – pre isteka godišnjeg perioda i pre usvajanja konačnog finansijskog izveštaja.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Za razliku od „klasične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dividende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koja se raspodeljuje nakon što društvo odobri završni račun, međudividenda omogućava osnivačima društva sa ograničenom odgovornošću (DOO) da ranije pristupe ostvarenoj dobiti.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Zašto bi DOO uopšte razmatrao međudividendu?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Poboljšanje likvidnosti članova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– ako firma već generiše višak prihoda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nad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rashodima, vlasnici mogu brže dobiti deo dobiti za lične ili poslovne potrebe.</w:t>
      </w:r>
    </w:p>
    <w:p w:rsidR="00827F15" w:rsidRPr="00827F15" w:rsidRDefault="00827F15" w:rsidP="00827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Fleksibilnost u planiranju poreza i investicija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bolja raspodela novca u toku godine može olakšati planiranje poreskih obaveza i budućih ulaganja.</w:t>
      </w:r>
    </w:p>
    <w:p w:rsidR="00827F15" w:rsidRPr="00827F15" w:rsidRDefault="00827F15" w:rsidP="00827F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Motivacija vlasnika/menadžmenta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ranija nagrada za uspešno poslovanje može podstaći još bolje rezultate do kraja godine.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Osnovna logika isplate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Da bi isplata bila dozvoljena, DOO mora da dokaže da je u periodu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početka godine do trenutka isplate ostvario dobit i da će posle isplate ostati dovoljno likvidan za regulisanje svih tekućih obaveza.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Tome služi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periodični (interni) finansijski izveštaj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, koji se ne podnosi državnim organima,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ali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se mora realno prikazati:</w:t>
      </w:r>
    </w:p>
    <w:p w:rsidR="00827F15" w:rsidRPr="00827F15" w:rsidRDefault="00827F15" w:rsidP="00827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prihode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 rashode od 1. januara do dana obračuna,</w:t>
      </w:r>
    </w:p>
    <w:p w:rsidR="00827F15" w:rsidRPr="00827F15" w:rsidRDefault="00827F15" w:rsidP="00827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stanje novčanih sredstava,</w:t>
      </w:r>
    </w:p>
    <w:p w:rsidR="00827F15" w:rsidRPr="00827F15" w:rsidRDefault="00827F15" w:rsidP="00827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iznos eventualne neraspoređene dobiti ili gubitaka iz prethodnih godina,</w:t>
      </w:r>
    </w:p>
    <w:p w:rsidR="00827F15" w:rsidRPr="00827F15" w:rsidRDefault="00827F15" w:rsidP="00827F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obavezne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 statutarne rezerve.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lastRenderedPageBreak/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Kome je ova praksa naročito korisna?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Startup firmama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koje tek izlaze iz faze investicija i beleže prvi solidni profit,</w:t>
      </w:r>
    </w:p>
    <w:p w:rsidR="00827F15" w:rsidRPr="00827F15" w:rsidRDefault="00827F15" w:rsidP="00827F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Sezonskim biznisima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kao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primer turističke agencije, distributeri sportske opreme, prodavnicama sezonske robe: kao što su bazeni, cveće, đubriva i slično. Ukratko, svakoj firmi koja ostvaruje najveći prihod u pojedinim mesecima,</w:t>
      </w:r>
    </w:p>
    <w:p w:rsidR="00827F15" w:rsidRPr="00827F15" w:rsidRDefault="00827F15" w:rsidP="00827F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Firmama bez akumulirane dobiti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iz proteklih godina,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ali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sa jakim rezultatima u tekućoj. Međudividenda omogućava da dobit, odmah „pretvore u keš“. Umesto da čekaju godišnji bilans.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Ključni rizici i šta obavezno proveriti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Preciznost projekcija do kraja godine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ako kasnije padnete u gubitak, isplaćena međudividenda može postati „nezakonita dividenda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koju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su članovi dužni da vrate.</w:t>
      </w:r>
    </w:p>
    <w:p w:rsidR="00827F15" w:rsidRPr="00827F15" w:rsidRDefault="00827F15" w:rsidP="00827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Test solventnosti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isplata ne sme ugroziti sposobnost društva da redovno izmiruje obaveze prema dobavljačima, zaposlenima i državi.</w:t>
      </w:r>
    </w:p>
    <w:p w:rsidR="00827F15" w:rsidRPr="00827F15" w:rsidRDefault="00827F15" w:rsidP="00827F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Neto imovina &gt; </w:t>
      </w:r>
      <w:hyperlink r:id="rId5" w:tgtFrame="_blank" w:tooltip="osnovni kapital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osnovni kapital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: u skladu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članom 275. ZPD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a, DOO ne sme isplaćivati dobit ako bi knjigovodstvena vrednost neto imovine pala ispod uplaćenog kapitala i obaveznih rezervi.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2. Uslovi pod kojima se može isplatiti međudividenda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Da bi isplata međudividende bila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zakonita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finansijski održiva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, društvo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ograničenom odgovornošću mora istovremeno da ispuni nekoliko ključnih uslova propisanih Zakonom o privrednim društvima (ZPD).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U nastavku su navedeni svi uslovi, logično grupisani i objašnjeni kroz prakse DOO.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Profit i likvidnost za tekući period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Dobit u periodu 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od</w:t>
      </w:r>
      <w:proofErr w:type="gramEnd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 1. 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januara</w:t>
      </w:r>
      <w:proofErr w:type="gramEnd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 do dana isplate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interni periodični izveštaj mora jasno pokazati da je u tom intervalu ostvarena dobit (višak prihoda nad rashodima).</w:t>
      </w:r>
    </w:p>
    <w:p w:rsidR="00827F15" w:rsidRPr="00827F15" w:rsidRDefault="00827F15" w:rsidP="00827F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Dovoljna novčana sredstva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– izveštaj takođe mora dokazati da je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raspolaganju dovoljno keša za isplatu, </w:t>
      </w:r>
      <w:hyperlink r:id="rId6" w:tgtFrame="_blank" w:tooltip="bez ugrožavanja tekuće likvidnosti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bez ugrožavanja tekuće likvidnosti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(obaveze prema dobavljačima, državi, zaposlenima).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Ograničenje iznosa za isplatu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Iznos privremene dividende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ne sme biti veći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(a)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dobiti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iz prethodne završene poslovne godine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+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neraspoređene dobiti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+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rezervi koje se smeju koristiti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–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(b)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nepokrivenih gubitaka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–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obaveznih (zakonskih/statutarnih) rezervi.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Ova formula osigurava da se prvo pokriju stari gubici i formiraju propisane rezerve, u skladu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redosledom raspodele dobiti iz člana 270 ZPD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a.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Test neto imovine (solventnosti)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Nije dovoljno imati profit „na papiru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–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zakon zahteva da, čak i posle isplate,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neto imovina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društva ostaje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iznad uplaćenog osnovnog kapitala uvećanog za obavezne rezerve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 Ovo pravilo (član 275) štiti poverilačku poziciju, a njegova primena je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expresis verbis proširena 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 DOO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članom 184.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Poštovanje statuta i upravljačkih tela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Ako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statut ne propisuje drugačije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odluku o isplati može doneti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skupština članova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u bilo kom trenutku između redovnih sednica.</w:t>
      </w:r>
    </w:p>
    <w:p w:rsidR="00827F15" w:rsidRPr="00827F15" w:rsidRDefault="00827F15" w:rsidP="00827F1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Statut može ovlastiti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direktora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nadzorni odbor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da odobri isplatu, ali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samo u novcu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(ni u udelima/akcijama).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Zabrane i posledice nedozvoljene isplate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Ako bi, zbog isplate, neto imovina pala ispod zakonom definisanog praga (v. 2.3), isplata je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nedozvoljena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827F15" w:rsidRPr="00827F15" w:rsidRDefault="00827F15" w:rsidP="00827F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Članovi koji su primili takvu isplatu, kao i direktori koji su je odobrili,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solidarno odgovaraju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za povraćaj sredstava i eventualnu štetu (član 185).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Saveti pre donošenja odluke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Konzervativne prognoze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izračunajte koliko dobiti može „ispariti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do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31. decembra zbog sezonskih kolebanja.</w:t>
      </w:r>
    </w:p>
    <w:p w:rsidR="00827F15" w:rsidRPr="00827F15" w:rsidRDefault="00827F15" w:rsidP="00827F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Provera rezervi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analizirajte statut da li propisuje dodatne rezerve iznad minimalnih zakonskih.</w:t>
      </w:r>
    </w:p>
    <w:p w:rsidR="00827F15" w:rsidRPr="00827F15" w:rsidRDefault="00827F15" w:rsidP="00827F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Stres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noBreakHyphen/>
        <w:t>test protoka keš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noBreakHyphen/>
        <w:t>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simulirajte obaveze za naredna 3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6 meseci i proverite da li i posle isplate ostaje dovoljno likvidnosti.</w:t>
      </w:r>
    </w:p>
    <w:p w:rsidR="00827F15" w:rsidRPr="00827F15" w:rsidRDefault="00827F15" w:rsidP="00827F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Izbegnite „simbolične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“ isplate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ako je dobit mala, troškovi administrativne procedure (videti odeljak 6) mogu pojesti dobar deo koristi.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Ukratko, šta to znači u praksi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Međudividenda je dozvoljena samo ako DOO istovremeno ostvaruje profit, zadovoljava test likvidnosti i neto imovine, poštuje redosled raspodele dobiti i ograničenja propisana statutom.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Ignorisanje bilo kog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ovih uslova izlaže vlasnike i direktore riziku povraćaja isplate i lične odgovornosti.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2DB1AB"/>
        <w:spacing w:after="100" w:afterAutospacing="1" w:line="240" w:lineRule="auto"/>
        <w:outlineLvl w:val="3"/>
        <w:rPr>
          <w:rFonts w:ascii="Montserrat-Bold" w:eastAsia="Times New Roman" w:hAnsi="Montserrat-Bold" w:cs="Times New Roman"/>
          <w:color w:val="FFFFFF"/>
          <w:sz w:val="24"/>
          <w:szCs w:val="24"/>
        </w:rPr>
      </w:pPr>
      <w:r w:rsidRPr="00827F15">
        <w:rPr>
          <w:rFonts w:ascii="Montserrat-Bold" w:eastAsia="Times New Roman" w:hAnsi="Montserrat-Bold" w:cs="Times New Roman"/>
          <w:color w:val="FFFFFF"/>
          <w:sz w:val="24"/>
          <w:szCs w:val="24"/>
        </w:rPr>
        <w:t xml:space="preserve">Potrebne su vam konsultacije </w:t>
      </w:r>
      <w:proofErr w:type="gramStart"/>
      <w:r w:rsidRPr="00827F15">
        <w:rPr>
          <w:rFonts w:ascii="Montserrat-Bold" w:eastAsia="Times New Roman" w:hAnsi="Montserrat-Bold" w:cs="Times New Roman"/>
          <w:color w:val="FFFFFF"/>
          <w:sz w:val="24"/>
          <w:szCs w:val="24"/>
        </w:rPr>
        <w:t>sa</w:t>
      </w:r>
      <w:proofErr w:type="gramEnd"/>
      <w:r w:rsidRPr="00827F15">
        <w:rPr>
          <w:rFonts w:ascii="Montserrat-Bold" w:eastAsia="Times New Roman" w:hAnsi="Montserrat-Bold" w:cs="Times New Roman"/>
          <w:color w:val="FFFFFF"/>
          <w:sz w:val="24"/>
          <w:szCs w:val="24"/>
        </w:rPr>
        <w:t xml:space="preserve"> našim poreskim savetnicima?</w:t>
      </w:r>
    </w:p>
    <w:p w:rsidR="00827F15" w:rsidRPr="00827F15" w:rsidRDefault="00827F15" w:rsidP="00827F15">
      <w:pPr>
        <w:shd w:val="clear" w:color="auto" w:fill="2DB1AB"/>
        <w:spacing w:after="0" w:line="240" w:lineRule="auto"/>
        <w:rPr>
          <w:rFonts w:ascii="Montserrat-Medium" w:eastAsia="Times New Roman" w:hAnsi="Montserrat-Medium" w:cs="Times New Roman"/>
          <w:color w:val="383838"/>
          <w:sz w:val="21"/>
          <w:szCs w:val="21"/>
        </w:rPr>
      </w:pPr>
      <w:r w:rsidRPr="00827F15">
        <w:rPr>
          <w:rFonts w:ascii="Montserrat-Medium" w:eastAsia="Times New Roman" w:hAnsi="Montserrat-Medium" w:cs="Times New Roman"/>
          <w:color w:val="383838"/>
          <w:sz w:val="21"/>
          <w:szCs w:val="21"/>
        </w:rPr>
        <w:t xml:space="preserve">Kontaktirajte nas i zakažite sastanak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1"/>
          <w:szCs w:val="21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1"/>
          <w:szCs w:val="21"/>
        </w:rPr>
        <w:t xml:space="preserve"> našim ekspertima i fokusirajte se na vaše poslovanje.</w:t>
      </w:r>
    </w:p>
    <w:p w:rsidR="00827F15" w:rsidRPr="00827F15" w:rsidRDefault="00827F15" w:rsidP="00827F15">
      <w:pPr>
        <w:shd w:val="clear" w:color="auto" w:fill="2DB1AB"/>
        <w:spacing w:after="150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hyperlink r:id="rId7" w:history="1">
        <w:r w:rsidRPr="00827F15">
          <w:rPr>
            <w:rFonts w:ascii="Montserrat-Medium" w:eastAsia="Times New Roman" w:hAnsi="Montserrat-Medium" w:cs="Times New Roman"/>
            <w:b/>
            <w:bCs/>
            <w:color w:val="FFFFFF"/>
            <w:sz w:val="20"/>
            <w:u w:val="single"/>
          </w:rPr>
          <w:t>Kontakt</w:t>
        </w:r>
      </w:hyperlink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3. Zakonski okvir za isplatu međudividendi (Zakon o privrednim društvima)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Pravni izvor: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Osnovna pravila o dividendi i međudividendi nalaze se u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Zakonu o privrednim društvima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Republike Srbije (ZPD) – „Službeni glasnik RS“, br. 36/2011…19/2025. Iako su detaljna pravila prvobitno napisana u delu zakona koji uređuje akcionarska društva, zakon izričito propisuje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shodnu primenu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tih odredaba i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društvo sa ograničenom odgovornošću (DOO)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kada se članovima isplaćuje dobit.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Zato je za razumevanje međudividendi u DOO neophodno čitati i odredbe koje važe za akcionarska društva.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Shodna primena pravila o dividendi i međudividendi </w:t>
      </w: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na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DOO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Član 183 ZPD izričito kaže da se pri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isplati dobiti članovima DOO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shodno primenjuju odredbe o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isplati dividende i međudividende akcionarima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To znači da se pravila o uslovima, ograničenjima i procedurama iz „akcionarskog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dela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zakona (naročito čl. 270–275 i 273 o privremenoj dividendi) moraju uzeti u obzir i kada DOO isplaćuje dobit svojim članovima tokom godine.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Privremena dividenda (međudividenda) –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 xml:space="preserve"> 273 ZPD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Zakon dopušta isplatu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privremene dividende (međudividende)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u bilo koje vreme između redovnih sednica skupštine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osim ako statutom nije drugačije određeno.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Međutim, dva kumulativna uslova moraju biti ispunjena:</w:t>
      </w:r>
    </w:p>
    <w:p w:rsidR="00827F15" w:rsidRPr="00827F15" w:rsidRDefault="00827F15" w:rsidP="00827F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hyperlink r:id="rId8" w:tgtFrame="_blank" w:tooltip="Finansijski izveštaj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Finansijski izveštaj</w:t>
        </w:r>
      </w:hyperlink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 za tu namenu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mora pokazati da je društvo u periodu za koji se isplaćuje međudividenda ostvarilo dobit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da ima dovoljno raspoloživih novčanih sredstava.</w:t>
      </w:r>
    </w:p>
    <w:p w:rsidR="00827F15" w:rsidRPr="00827F15" w:rsidRDefault="00827F15" w:rsidP="00827F1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Iznos međudividende ne sme preći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zbir: dobit posle završetka prethodne poslovne godine + neraspoređena dobit + rezerve koje se mogu koristiti – utvrđeni gubici – zakonske/statutarne rezerve koje se moraju uneti.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Ovo je direktan tekstualni okvir iz člana 273 i predstavlja srž zakonskog testa za </w:t>
      </w:r>
      <w:hyperlink r:id="rId9" w:tgtFrame="_blank" w:tooltip="svaku privremenu isplatu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</w:rPr>
          <w:t>svaku privremenu isplatu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Redosled raspodele dobiti –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270 ZPD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Da biste uopšte stigli do dividende/međudividende, ZPD propisuje red:</w:t>
      </w:r>
    </w:p>
    <w:p w:rsidR="00827F15" w:rsidRPr="00827F15" w:rsidRDefault="00827F15" w:rsidP="00827F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pokriće prenesenih gubitaka;</w:t>
      </w:r>
    </w:p>
    <w:p w:rsidR="00827F15" w:rsidRPr="00827F15" w:rsidRDefault="00827F15" w:rsidP="00827F1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zakonske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rezerve;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br/>
        <w:t>Ako posle toga ostane dobiti, skupština može raspodeliti: 3) statutarne rezerve; 4) dividendu; 5) isplatu zaposlenima.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br/>
        <w:t xml:space="preserve">Ovaj redosled je važan jer ograničenje iz čl. 273 (tačka 2) posredno upućuje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ove prioritete. DOO treba da proveri da li su gubici i obavezne rezerve pokriveni pre bilo kakve privremene raspodele.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Ograničenja plaćanja – primena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</w:t>
      </w: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275 kroz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184 ZPD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Član 184 ZPD propisuje da se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odredbe člana 275 (ograničenja plaćanja akcionarima)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 xml:space="preserve">shodno primenjuju i </w:t>
      </w:r>
      <w:proofErr w:type="gramStart"/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 xml:space="preserve"> DOO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 Prema članu 275:</w:t>
      </w:r>
    </w:p>
    <w:p w:rsidR="00827F15" w:rsidRPr="00827F15" w:rsidRDefault="00827F15" w:rsidP="00827F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Zabrana isplate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ako bi, prema poslednjim godišnjim finansijskim izveštajima,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neto imovina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pala ispod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uplaćenog osnovnog kapitala + obaveznih rezervi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(osim ako se kapital formalno smanjuje).</w:t>
      </w:r>
    </w:p>
    <w:p w:rsidR="00827F15" w:rsidRPr="00827F15" w:rsidRDefault="00827F15" w:rsidP="00827F1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Godišnji plafon isplata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: ukupno plaćanje članovima ne sme biti veće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od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dobiti na kraju poslovne godine, uvećane za neraspoređenu dobit i rezerve namenjene raspodeli, umanjene za nepokrivene gubitke i obavezne rezerve.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Ovo praktično uvodi „test kapitala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„test bilansa“ koje DOO mora poštovati i pri međudividendi.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Obaveza organa društva da zaštite kapital –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184 (stav o pogoršanju imovinskog stanja)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Isti deo zakona nameće dužnost direktoru (i članu nadzornog odbora u dvodomnom sistemu) da, ako u periodu između kraja prethodne poslovne godine i dana usvajanja godišnjih finansijskih izveštaja dođe do značajnog i ne samo privremenog pogoršanja imovinskog stanja,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obavesti skupštinu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koja tada mora iz raspodele dobiti isključiti iznos </w:t>
      </w:r>
      <w:hyperlink r:id="rId10" w:tgtFrame="_blank" w:tooltip="smanjenja imovine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smanjenja imovine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Neispunjavanje ove dužnosti stvara odgovornost za štetu.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Za DOO koje razmatra međudividendu usred godine, ovaj signal je kritičan: promene performansi posle privremene isplate mogu aktivirati obavezu korekcije.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Odgovornost za nedopuštena plaćanja – čl.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185 ZPD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Ako je isplata izvršena suprotno ograničenjima (čl. 182/184/275),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član koji je primio sredstva duguje povraćaj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; društvo ga ne može osloboditi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te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obaveze.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Povraćaj savesnog člana (koji nije znao niti je morao znati) traži se samo ako je neophodno za namirenje poverilaca.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Takođe,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članovi koji su glasali za isplatu i direktori/nadzorni odbor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koji su znali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morali znati za nezakonitost odgovaraju solidarno i neograničeno za štetu.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Ovo dramatično podiže rizik brzopletih međuisplata.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Ko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odobrava međudividendu?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Po default-u (ako statutom nije drugačije): skupština može odobriti međudividendu između redovnih sednica. Statutom se može predvideti da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odluku donosi odbor direktora (jednodomno) 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 nadzorni odbor (dvodomno)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ali u tim slučajevima isplata može biti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isključivo u novcu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. Ovo praktično skraćuje put do privremene raspodele u firmama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agilnim korporativnim upravljanjem.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Način plaćanja i dan dividende – relevantno i za međudividendu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Iako je član 272 fokusiran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„način plaćanja dividende akcionarima“, njegova se logika primenjuje i kod DOO (shodna primena). Zakon omogućava isplatu u novcu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u akcijama/udelima, osim ako ograničenja iz statuta ili posebnih pravila (vidi tačku 3.7) ne zahtevaju novčanu isplatu. Takođe, ako statut ne definiše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dan dividende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za privremenu isplatu, taj dan se određuje odlukom kojom se međudividenda odobrava (veoma važno za utvrđivanje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ko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ima pravo na isplatu).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4. Poreske obaveze članova DOO prilikom isplate međudividendi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Iako sav operativni teret zadržavanja i uplate poreza „po odbitku” nosi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DOO kao isplatilac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članovi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primaoci ipak imaju nekoliko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ličnih obaveza i kontrolnih tačaka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koje ne bi smeli da zanemare.</w:t>
      </w:r>
      <w:proofErr w:type="gramEnd"/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Za većinu članova obaveze se svode na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proveru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i </w:t>
      </w:r>
      <w:r w:rsidRPr="00827F15">
        <w:rPr>
          <w:rFonts w:ascii="Montserrat-Medium" w:eastAsia="Times New Roman" w:hAnsi="Montserrat-Medium" w:cs="Times New Roman"/>
          <w:i/>
          <w:iCs/>
          <w:color w:val="383838"/>
          <w:sz w:val="27"/>
        </w:rPr>
        <w:t>evidenciju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jer DOO legalno „odradi” 15 % porez po odbitku. Ali kad isplatilac pogreši (ili kada primate dividendu direktno iz inostranstva),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vi ste poslednja „odbrana“ da država dobije svoj deo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– i u tom slučaju dužni ste da preuzmete samooporezivanje, platite glavnicu, kamatu i, po potrebi, dopunsku kaznu.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Poreske obaveze članova DOO prilikom isplate međudividendi mogu da uključuju:</w:t>
      </w:r>
    </w:p>
    <w:p w:rsidR="00827F15" w:rsidRPr="00827F15" w:rsidRDefault="00827F15" w:rsidP="00827F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Porez </w:t>
      </w:r>
      <w:proofErr w:type="gramStart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 xml:space="preserve"> dohodak građana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Članovi DOO koji su fizička lica moraju platiti porez na dohodak građana na primljene dividende, kao što smo već naveli.</w:t>
      </w:r>
    </w:p>
    <w:p w:rsidR="00827F15" w:rsidRPr="00827F15" w:rsidRDefault="00827F15" w:rsidP="00827F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Poreska prijava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Društvo mora podneti poresku prijavu za isplatu dividende i dobiti broj odobrenja (BOP) pre isplate dividende.</w:t>
      </w:r>
    </w:p>
    <w:p w:rsidR="00827F15" w:rsidRPr="00827F15" w:rsidRDefault="00827F15" w:rsidP="00827F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Isplata poreza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: Društvo mora izvršiti isplatu poreza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dohodak građana na ime članova DOO koji su fizička lica.</w:t>
      </w:r>
    </w:p>
    <w:p w:rsidR="00827F15" w:rsidRPr="00827F15" w:rsidRDefault="00827F15" w:rsidP="00827F1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Obaveza društva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Društvo je obavezno da zadrži </w:t>
      </w:r>
      <w:hyperlink r:id="rId11" w:tgtFrame="_blank" w:tooltip="porez na dohodak građana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 xml:space="preserve">porez </w:t>
        </w:r>
        <w:proofErr w:type="gramStart"/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na</w:t>
        </w:r>
        <w:proofErr w:type="gramEnd"/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 xml:space="preserve"> dohodak građana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prilikom isplate dividende i da ga uplati u budžet u roku koji je propisan zakonom.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2"/>
        <w:rPr>
          <w:rFonts w:ascii="Montserrat-Bold" w:eastAsia="Times New Roman" w:hAnsi="Montserrat-Bold" w:cs="Times New Roman"/>
          <w:color w:val="000000"/>
          <w:sz w:val="27"/>
          <w:szCs w:val="27"/>
        </w:rPr>
      </w:pP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Zašto dividenda </w:t>
      </w:r>
      <w:r w:rsidRPr="00827F15">
        <w:rPr>
          <w:rFonts w:ascii="Montserrat-Bold" w:eastAsia="Times New Roman" w:hAnsi="Montserrat-Bold" w:cs="Times New Roman"/>
          <w:i/>
          <w:iCs/>
          <w:color w:val="000000"/>
          <w:sz w:val="27"/>
          <w:szCs w:val="27"/>
        </w:rPr>
        <w:t>ne ulazi</w:t>
      </w:r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 u Godišnji porez </w:t>
      </w:r>
      <w:proofErr w:type="gramStart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>na</w:t>
      </w:r>
      <w:proofErr w:type="gramEnd"/>
      <w:r w:rsidRPr="00827F15">
        <w:rPr>
          <w:rFonts w:ascii="Montserrat-Bold" w:eastAsia="Times New Roman" w:hAnsi="Montserrat-Bold" w:cs="Times New Roman"/>
          <w:color w:val="000000"/>
          <w:sz w:val="27"/>
          <w:szCs w:val="27"/>
        </w:rPr>
        <w:t xml:space="preserve"> dohodak građana (GPDG)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Čl. 87  ZPDG izričito navodi koje se vrste prihoda sabiraju za GPDG – kapital (dividenda, međudividenda) nije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listi, pa se ne dodaje na dohodak od zarada, samostalne delatnosti.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Ipak, ukoliko zbog drugih prihoda prelazite prag, podnosite PP GPDG; </w:t>
      </w:r>
      <w:hyperlink r:id="rId12" w:tgtFrame="_blank" w:tooltip="dividende ostaju izvan osnovice, ali se prijava svejedno podnosi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 xml:space="preserve">dividende ostaju izvan osnovice, </w:t>
        </w:r>
        <w:proofErr w:type="gramStart"/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>ali</w:t>
        </w:r>
        <w:proofErr w:type="gramEnd"/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  <w:u w:val="single"/>
          </w:rPr>
          <w:t xml:space="preserve"> se prijava svejedno podnosi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outlineLvl w:val="1"/>
        <w:rPr>
          <w:rFonts w:ascii="Montserrat-Bold" w:eastAsia="Times New Roman" w:hAnsi="Montserrat-Bold" w:cs="Times New Roman"/>
          <w:color w:val="000000"/>
          <w:sz w:val="36"/>
          <w:szCs w:val="36"/>
        </w:rPr>
      </w:pPr>
      <w:r w:rsidRPr="00827F15">
        <w:rPr>
          <w:rFonts w:ascii="Montserrat-Bold" w:eastAsia="Times New Roman" w:hAnsi="Montserrat-Bold" w:cs="Times New Roman"/>
          <w:color w:val="000000"/>
          <w:sz w:val="36"/>
          <w:szCs w:val="36"/>
        </w:rPr>
        <w:t>5. Procedura za isplatu međudividendi i koraci koje DOO treba da odradi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Isplata međudividendi članovima DOO je kompleksan proces koji zahteva pažljivo planiranje i izvršenje.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Društva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ograničenom odgovornošću moraju biti svesna zakonskih i poreskih posledica isplate međudividendi i postupati u skladu sa važećim propisima.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Isplata je „sposobna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“ tek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kad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pravni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(ZPD) i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poreski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(ZPDG) uslovi budu zadovoljeni.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U praksi, neki generalni i osnovi koraci su: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Sastaviti periodični finansijski izveštaj (1. januar – datum obračuna) i uraditi tri testa (dobit &amp; keš, plafon, kapital).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Pripremiti predlog odluke o isplati međudividende – iznos, dan dividende, lista primalaca, izvor finansiranja.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Sazvati organ koji odlučuje.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Održati sednicu i usvojiti odluku (jednoglasno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kvalifikovanom većinom iz osnivačkog akta). Voditi zapisnik, potpisati ga, arhivirati uz priloge.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Registrovati odluku u APR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u – nije obavezno, jer zakon ne traži. Ali može da se odradi radi transparentnosti firme.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hyperlink r:id="rId13" w:tgtFrame="_blank" w:tooltip="Knjigovodstveno treba evidentirati" w:history="1">
        <w:r w:rsidRPr="00827F15">
          <w:rPr>
            <w:rFonts w:ascii="Montserrat-Medium" w:eastAsia="Times New Roman" w:hAnsi="Montserrat-Medium" w:cs="Times New Roman"/>
            <w:b/>
            <w:bCs/>
            <w:color w:val="000000"/>
            <w:sz w:val="27"/>
          </w:rPr>
          <w:t>Knjigovodstveno treba evidentirati</w:t>
        </w:r>
      </w:hyperlink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: dugovanje, potraživanje, razduženje.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Podneti PPP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PD elektronsku prijavu Poreskoj upravi (ePorezi) pre same uplate – generiše se BOP.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Uplatiti 15 % poreza (šifra 471, poziv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na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broj = BOP) istog dana ili najkasnije prvog narednog radnog dana.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Isplatiti neto međudividendu članovima – istim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narednim danom posle uplate poreza.</w:t>
      </w:r>
    </w:p>
    <w:p w:rsidR="00827F15" w:rsidRPr="00827F15" w:rsidRDefault="00827F15" w:rsidP="00827F1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Čuvati dokumentaciju i uskladištiti u arhivu: fin.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izveštaj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, zapisnik, odluka, PPP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PD, BOP, bankarski izvodi. Do 31. januara naredne godine izdati PPP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noBreakHyphen/>
        <w:t>PO svakom članu.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 </w:t>
      </w:r>
    </w:p>
    <w:p w:rsidR="00827F15" w:rsidRPr="00827F15" w:rsidRDefault="00827F15" w:rsidP="00827F15">
      <w:pPr>
        <w:shd w:val="clear" w:color="auto" w:fill="FFFFFF"/>
        <w:spacing w:after="100" w:afterAutospacing="1" w:line="240" w:lineRule="auto"/>
        <w:rPr>
          <w:rFonts w:ascii="Montserrat-Medium" w:eastAsia="Times New Roman" w:hAnsi="Montserrat-Medium" w:cs="Times New Roman"/>
          <w:color w:val="383838"/>
          <w:sz w:val="27"/>
          <w:szCs w:val="27"/>
        </w:rPr>
      </w:pP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Praćenjem ovih koraka, DOO može </w:t>
      </w:r>
      <w:r w:rsidRPr="00827F15">
        <w:rPr>
          <w:rFonts w:ascii="Montserrat-Medium" w:eastAsia="Times New Roman" w:hAnsi="Montserrat-Medium" w:cs="Times New Roman"/>
          <w:b/>
          <w:bCs/>
          <w:color w:val="000000"/>
          <w:sz w:val="27"/>
        </w:rPr>
        <w:t>da minimizira rizik</w:t>
      </w:r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 da se isplata proglasi nezakonitom (čl. 185  ZPD) </w:t>
      </w:r>
      <w:proofErr w:type="gramStart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>ili</w:t>
      </w:r>
      <w:proofErr w:type="gramEnd"/>
      <w:r w:rsidRPr="00827F15">
        <w:rPr>
          <w:rFonts w:ascii="Montserrat-Medium" w:eastAsia="Times New Roman" w:hAnsi="Montserrat-Medium" w:cs="Times New Roman"/>
          <w:color w:val="383838"/>
          <w:sz w:val="27"/>
          <w:szCs w:val="27"/>
        </w:rPr>
        <w:t xml:space="preserve"> da dobije kaznu za poreski prekršaj.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tserrat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0D3"/>
    <w:multiLevelType w:val="multilevel"/>
    <w:tmpl w:val="4980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75552"/>
    <w:multiLevelType w:val="multilevel"/>
    <w:tmpl w:val="CED8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72D0D"/>
    <w:multiLevelType w:val="multilevel"/>
    <w:tmpl w:val="EF9A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D2354"/>
    <w:multiLevelType w:val="multilevel"/>
    <w:tmpl w:val="0D74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E40CD1"/>
    <w:multiLevelType w:val="multilevel"/>
    <w:tmpl w:val="B90A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A70CF4"/>
    <w:multiLevelType w:val="multilevel"/>
    <w:tmpl w:val="5A1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D1745"/>
    <w:multiLevelType w:val="multilevel"/>
    <w:tmpl w:val="F16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516D3"/>
    <w:multiLevelType w:val="multilevel"/>
    <w:tmpl w:val="C246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DE1BA7"/>
    <w:multiLevelType w:val="multilevel"/>
    <w:tmpl w:val="39F6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4A0F7C"/>
    <w:multiLevelType w:val="multilevel"/>
    <w:tmpl w:val="5B5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1515B"/>
    <w:multiLevelType w:val="multilevel"/>
    <w:tmpl w:val="8C98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E41018"/>
    <w:multiLevelType w:val="multilevel"/>
    <w:tmpl w:val="2D78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27B86"/>
    <w:multiLevelType w:val="multilevel"/>
    <w:tmpl w:val="0F26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827F15"/>
    <w:rsid w:val="007015E6"/>
    <w:rsid w:val="007D59D4"/>
    <w:rsid w:val="0082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82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27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27F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7F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7F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27F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2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7F1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27F1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27F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8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mconsulting.co.rs/izrada-statutarnih-finansijskih-izvestaja/" TargetMode="External"/><Relationship Id="rId13" Type="http://schemas.openxmlformats.org/officeDocument/2006/relationships/hyperlink" Target="https://tmconsulting.co.rs/kako-izgleda-saradnja-sa-agencijom-za-racunovodstvene-uslu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mconsulting.co.rs/kontakt/" TargetMode="External"/><Relationship Id="rId12" Type="http://schemas.openxmlformats.org/officeDocument/2006/relationships/hyperlink" Target="https://www.purs.gov.rs/kontakt/kontakt-centar/pitanja-i-odgovor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privrednim_drustvima.html" TargetMode="External"/><Relationship Id="rId11" Type="http://schemas.openxmlformats.org/officeDocument/2006/relationships/hyperlink" Target="https://tmconsulting.co.rs/porez-na-dohodak-gradjana-ko-ga-placa-i-kako-se-racuna/" TargetMode="External"/><Relationship Id="rId5" Type="http://schemas.openxmlformats.org/officeDocument/2006/relationships/hyperlink" Target="https://tmconsulting.co.rs/sta-je-osnovni-kapital-drustva-sa-ogranicenim-odgovornosc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mconsulting.co.rs/promena-osnovnog-kapitala-povecanje-i-smanjenje-kapitala-dru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mconsulting.co.rs/isplata-dividende-vodic-kroz-poreske-obavez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2258</Words>
  <Characters>12873</Characters>
  <Application>Microsoft Office Word</Application>
  <DocSecurity>0</DocSecurity>
  <Lines>107</Lines>
  <Paragraphs>30</Paragraphs>
  <ScaleCrop>false</ScaleCrop>
  <Company/>
  <LinksUpToDate>false</LinksUpToDate>
  <CharactersWithSpaces>15101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2025-10-05T15:36:00Z</dcterms:created>
  <dcterms:modified xsi:type="dcterms:W3CDTF">2025-10-05T15:36:00Z</dcterms:modified>
</cp:coreProperties>
</file>