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1FF" w:rsidRPr="00D671FF" w:rsidRDefault="00D671FF" w:rsidP="00D671FF">
      <w:pPr>
        <w:shd w:val="clear" w:color="auto" w:fill="FFFFFF"/>
        <w:spacing w:before="525" w:after="525" w:line="240" w:lineRule="auto"/>
        <w:rPr>
          <w:rFonts w:ascii="Segoe UI" w:eastAsia="Times New Roman" w:hAnsi="Segoe UI" w:cs="Segoe UI"/>
          <w:color w:val="212529"/>
          <w:sz w:val="24"/>
          <w:szCs w:val="24"/>
        </w:rPr>
      </w:pPr>
      <w:r w:rsidRPr="00D671FF">
        <w:rPr>
          <w:rFonts w:ascii="Segoe UI" w:eastAsia="Times New Roman" w:hAnsi="Segoe UI" w:cs="Segoe UI"/>
          <w:color w:val="212529"/>
          <w:sz w:val="24"/>
          <w:szCs w:val="24"/>
        </w:rPr>
        <w:t>Pribavljanja opreme i nekretnina prema ugovoru o lizingu, moguće je putem:</w:t>
      </w:r>
    </w:p>
    <w:p w:rsidR="00D671FF" w:rsidRPr="00D671FF" w:rsidRDefault="00D671FF" w:rsidP="00D671FF">
      <w:pPr>
        <w:numPr>
          <w:ilvl w:val="0"/>
          <w:numId w:val="1"/>
        </w:numPr>
        <w:shd w:val="clear" w:color="auto" w:fill="FFFFFF"/>
        <w:spacing w:after="0" w:line="240" w:lineRule="auto"/>
        <w:ind w:left="300"/>
        <w:rPr>
          <w:rFonts w:ascii="Segoe UI" w:eastAsia="Times New Roman" w:hAnsi="Segoe UI" w:cs="Segoe UI"/>
          <w:color w:val="212529"/>
          <w:sz w:val="26"/>
          <w:szCs w:val="26"/>
        </w:rPr>
      </w:pPr>
      <w:r w:rsidRPr="00D671FF">
        <w:rPr>
          <w:rFonts w:ascii="Segoe UI" w:eastAsia="Times New Roman" w:hAnsi="Segoe UI" w:cs="Segoe UI"/>
          <w:b/>
          <w:bCs/>
          <w:color w:val="212529"/>
          <w:sz w:val="26"/>
        </w:rPr>
        <w:t>finansijskog lizinga, kao specifičnog oblika kupoprodaje dobara, i</w:t>
      </w:r>
    </w:p>
    <w:p w:rsidR="00D671FF" w:rsidRPr="00D671FF" w:rsidRDefault="00D671FF" w:rsidP="00D671FF">
      <w:pPr>
        <w:numPr>
          <w:ilvl w:val="0"/>
          <w:numId w:val="1"/>
        </w:numPr>
        <w:shd w:val="clear" w:color="auto" w:fill="FFFFFF"/>
        <w:spacing w:after="0" w:line="240" w:lineRule="auto"/>
        <w:ind w:left="300"/>
        <w:rPr>
          <w:rFonts w:ascii="Segoe UI" w:eastAsia="Times New Roman" w:hAnsi="Segoe UI" w:cs="Segoe UI"/>
          <w:color w:val="212529"/>
          <w:sz w:val="26"/>
          <w:szCs w:val="26"/>
        </w:rPr>
      </w:pPr>
      <w:proofErr w:type="gramStart"/>
      <w:r w:rsidRPr="00D671FF">
        <w:rPr>
          <w:rFonts w:ascii="Segoe UI" w:eastAsia="Times New Roman" w:hAnsi="Segoe UI" w:cs="Segoe UI"/>
          <w:b/>
          <w:bCs/>
          <w:color w:val="212529"/>
          <w:sz w:val="26"/>
        </w:rPr>
        <w:t>operativnog</w:t>
      </w:r>
      <w:proofErr w:type="gramEnd"/>
      <w:r w:rsidRPr="00D671FF">
        <w:rPr>
          <w:rFonts w:ascii="Segoe UI" w:eastAsia="Times New Roman" w:hAnsi="Segoe UI" w:cs="Segoe UI"/>
          <w:b/>
          <w:bCs/>
          <w:color w:val="212529"/>
          <w:sz w:val="26"/>
        </w:rPr>
        <w:t xml:space="preserve"> (poslovnog) lizinga, koji predstavlja zakup dobara.</w:t>
      </w:r>
    </w:p>
    <w:p w:rsidR="00D671FF" w:rsidRPr="00D671FF" w:rsidRDefault="00D671FF" w:rsidP="00D671FF">
      <w:pPr>
        <w:shd w:val="clear" w:color="auto" w:fill="FFFFFF"/>
        <w:spacing w:before="525" w:after="525" w:line="240" w:lineRule="auto"/>
        <w:rPr>
          <w:rFonts w:ascii="Segoe UI" w:eastAsia="Times New Roman" w:hAnsi="Segoe UI" w:cs="Segoe UI"/>
          <w:color w:val="212529"/>
          <w:sz w:val="24"/>
          <w:szCs w:val="24"/>
        </w:rPr>
      </w:pPr>
      <w:proofErr w:type="gramStart"/>
      <w:r w:rsidRPr="00D671FF">
        <w:rPr>
          <w:rFonts w:ascii="Segoe UI" w:eastAsia="Times New Roman" w:hAnsi="Segoe UI" w:cs="Segoe UI"/>
          <w:color w:val="212529"/>
          <w:sz w:val="24"/>
          <w:szCs w:val="24"/>
        </w:rPr>
        <w:t>Obe vrste lizinga imaju specifičan obligaciono-pravni, poreski i računovodstveni aspekt.</w:t>
      </w:r>
      <w:proofErr w:type="gramEnd"/>
    </w:p>
    <w:p w:rsidR="00D671FF" w:rsidRPr="00D671FF" w:rsidRDefault="00D671FF" w:rsidP="00D671FF">
      <w:pPr>
        <w:shd w:val="clear" w:color="auto" w:fill="FFFFFF"/>
        <w:spacing w:before="525" w:after="525" w:line="240" w:lineRule="auto"/>
        <w:rPr>
          <w:rFonts w:ascii="Segoe UI" w:eastAsia="Times New Roman" w:hAnsi="Segoe UI" w:cs="Segoe UI"/>
          <w:color w:val="212529"/>
          <w:sz w:val="24"/>
          <w:szCs w:val="24"/>
        </w:rPr>
      </w:pPr>
      <w:r w:rsidRPr="00D671FF">
        <w:rPr>
          <w:rFonts w:ascii="Segoe UI" w:eastAsia="Times New Roman" w:hAnsi="Segoe UI" w:cs="Segoe UI"/>
          <w:color w:val="212529"/>
          <w:sz w:val="24"/>
          <w:szCs w:val="24"/>
        </w:rPr>
        <w:t>Pravni aspekt finansijskog lizinga uređen je </w:t>
      </w:r>
      <w:hyperlink r:id="rId5" w:tgtFrame="_blank" w:history="1">
        <w:r>
          <w:rPr>
            <w:rFonts w:ascii="Segoe UI" w:eastAsia="Times New Roman" w:hAnsi="Segoe UI" w:cs="Segoe UI"/>
            <w:color w:val="212529"/>
            <w:sz w:val="24"/>
            <w:szCs w:val="24"/>
          </w:rPr>
          <w:t xml:space="preserve"> Finansijskom</w:t>
        </w:r>
      </w:hyperlink>
      <w:r>
        <w:rPr>
          <w:rFonts w:ascii="Segoe UI" w:eastAsia="Times New Roman" w:hAnsi="Segoe UI" w:cs="Segoe UI"/>
          <w:color w:val="212529"/>
          <w:sz w:val="24"/>
          <w:szCs w:val="24"/>
        </w:rPr>
        <w:t xml:space="preserve"> lizingu </w:t>
      </w:r>
      <w:r w:rsidRPr="00D671FF">
        <w:rPr>
          <w:rFonts w:ascii="Segoe UI" w:eastAsia="Times New Roman" w:hAnsi="Segoe UI" w:cs="Segoe UI"/>
          <w:color w:val="212529"/>
          <w:sz w:val="24"/>
          <w:szCs w:val="24"/>
        </w:rPr>
        <w:t xml:space="preserve"> ("Sl. glasnik RS", br. 55/2003, 61/2005, 31/2011 i 99/2011 - dr. zakoni), a operativnog lizinga Zakonom o obligacionim odnosima ("Sl. list SFRJ", br. 29/78, 39/85, 45/89 - odluka USJ i 57/89, "Sl. list SRJ", br. 31/93 i "Sl. list SCG", br. 1/2003 - Ustavna povelja i "Sl. glasnik RS", br. 18/2020), u kojem se odredbama čl. 567. </w:t>
      </w:r>
      <w:proofErr w:type="gramStart"/>
      <w:r w:rsidRPr="00D671FF">
        <w:rPr>
          <w:rFonts w:ascii="Segoe UI" w:eastAsia="Times New Roman" w:hAnsi="Segoe UI" w:cs="Segoe UI"/>
          <w:color w:val="212529"/>
          <w:sz w:val="24"/>
          <w:szCs w:val="24"/>
        </w:rPr>
        <w:t>do</w:t>
      </w:r>
      <w:proofErr w:type="gramEnd"/>
      <w:r w:rsidRPr="00D671FF">
        <w:rPr>
          <w:rFonts w:ascii="Segoe UI" w:eastAsia="Times New Roman" w:hAnsi="Segoe UI" w:cs="Segoe UI"/>
          <w:color w:val="212529"/>
          <w:sz w:val="24"/>
          <w:szCs w:val="24"/>
        </w:rPr>
        <w:t xml:space="preserve"> 599. </w:t>
      </w:r>
      <w:proofErr w:type="gramStart"/>
      <w:r w:rsidRPr="00D671FF">
        <w:rPr>
          <w:rFonts w:ascii="Segoe UI" w:eastAsia="Times New Roman" w:hAnsi="Segoe UI" w:cs="Segoe UI"/>
          <w:color w:val="212529"/>
          <w:sz w:val="24"/>
          <w:szCs w:val="24"/>
        </w:rPr>
        <w:t>uređuje</w:t>
      </w:r>
      <w:proofErr w:type="gramEnd"/>
      <w:r w:rsidRPr="00D671FF">
        <w:rPr>
          <w:rFonts w:ascii="Segoe UI" w:eastAsia="Times New Roman" w:hAnsi="Segoe UI" w:cs="Segoe UI"/>
          <w:color w:val="212529"/>
          <w:sz w:val="24"/>
          <w:szCs w:val="24"/>
        </w:rPr>
        <w:t xml:space="preserve"> ugovor o zakupu, koji u suštini obuhvata isto što i ugovor o operativnom lizingu.</w:t>
      </w:r>
    </w:p>
    <w:p w:rsidR="00D671FF" w:rsidRPr="00D671FF" w:rsidRDefault="00D671FF" w:rsidP="00D671FF">
      <w:pPr>
        <w:shd w:val="clear" w:color="auto" w:fill="FFFFFF"/>
        <w:spacing w:before="525" w:after="525" w:line="240" w:lineRule="auto"/>
        <w:rPr>
          <w:rFonts w:ascii="Segoe UI" w:eastAsia="Times New Roman" w:hAnsi="Segoe UI" w:cs="Segoe UI"/>
          <w:color w:val="212529"/>
          <w:sz w:val="24"/>
          <w:szCs w:val="24"/>
        </w:rPr>
      </w:pPr>
      <w:r w:rsidRPr="00D671FF">
        <w:rPr>
          <w:rFonts w:ascii="Segoe UI" w:eastAsia="Times New Roman" w:hAnsi="Segoe UI" w:cs="Segoe UI"/>
          <w:color w:val="212529"/>
          <w:sz w:val="24"/>
          <w:szCs w:val="24"/>
        </w:rPr>
        <w:t>Računovodstveni aspekt lizinga kod privrednih subjekata koji ne primenjuju pune MRS/MSFI (</w:t>
      </w:r>
      <w:r w:rsidRPr="00D671FF">
        <w:rPr>
          <w:rFonts w:ascii="Segoe UI" w:eastAsia="Times New Roman" w:hAnsi="Segoe UI" w:cs="Segoe UI"/>
          <w:i/>
          <w:iCs/>
          <w:color w:val="212529"/>
          <w:sz w:val="24"/>
          <w:szCs w:val="24"/>
        </w:rPr>
        <w:t>što je predmet ovog komentara</w:t>
      </w:r>
      <w:r w:rsidRPr="00D671FF">
        <w:rPr>
          <w:rFonts w:ascii="Segoe UI" w:eastAsia="Times New Roman" w:hAnsi="Segoe UI" w:cs="Segoe UI"/>
          <w:color w:val="212529"/>
          <w:sz w:val="24"/>
          <w:szCs w:val="24"/>
        </w:rPr>
        <w:t>) uređuje Odeljak 20 - Lizing za privredne subjekte koji primenjuju Međunarodni standard finansijskog izveštavanja (IFRS) za male i srednje entitete ("Sl. glasnik RS", br. 83/2018</w:t>
      </w:r>
      <w:r w:rsidRPr="00D671FF">
        <w:rPr>
          <w:rFonts w:ascii="Segoe UI" w:eastAsia="Times New Roman" w:hAnsi="Segoe UI" w:cs="Segoe UI"/>
          <w:b/>
          <w:bCs/>
          <w:i/>
          <w:iCs/>
          <w:color w:val="212529"/>
          <w:sz w:val="24"/>
          <w:szCs w:val="24"/>
        </w:rPr>
        <w:t> </w:t>
      </w:r>
      <w:r w:rsidRPr="00D671FF">
        <w:rPr>
          <w:rFonts w:ascii="Segoe UI" w:eastAsia="Times New Roman" w:hAnsi="Segoe UI" w:cs="Segoe UI"/>
          <w:color w:val="212529"/>
          <w:sz w:val="24"/>
          <w:szCs w:val="24"/>
        </w:rPr>
        <w:t xml:space="preserve">- dalje: MSFI za MSP), odnosno Pravilnik o načinu priznavanja, vrednovanja, prezentacije i obelodanjivanja pozicija u pojedinačnim finansijskim izveštajima mikro i drugih pravnih lica("Sl. glasnik RS", br. 89/2020). Između ove dve regulative </w:t>
      </w:r>
      <w:proofErr w:type="gramStart"/>
      <w:r w:rsidRPr="00D671FF">
        <w:rPr>
          <w:rFonts w:ascii="Segoe UI" w:eastAsia="Times New Roman" w:hAnsi="Segoe UI" w:cs="Segoe UI"/>
          <w:color w:val="212529"/>
          <w:sz w:val="24"/>
          <w:szCs w:val="24"/>
        </w:rPr>
        <w:t>nema</w:t>
      </w:r>
      <w:proofErr w:type="gramEnd"/>
      <w:r w:rsidRPr="00D671FF">
        <w:rPr>
          <w:rFonts w:ascii="Segoe UI" w:eastAsia="Times New Roman" w:hAnsi="Segoe UI" w:cs="Segoe UI"/>
          <w:color w:val="212529"/>
          <w:sz w:val="24"/>
          <w:szCs w:val="24"/>
        </w:rPr>
        <w:t xml:space="preserve"> suštinske razlike jer obe na isti način definišu finansijski i poslovni (operativni) lizing i njihov tretman u finansijskim izveštajima korisnika i davaoca lizinga. Stoga </w:t>
      </w:r>
      <w:proofErr w:type="gramStart"/>
      <w:r w:rsidRPr="00D671FF">
        <w:rPr>
          <w:rFonts w:ascii="Segoe UI" w:eastAsia="Times New Roman" w:hAnsi="Segoe UI" w:cs="Segoe UI"/>
          <w:color w:val="212529"/>
          <w:sz w:val="24"/>
          <w:szCs w:val="24"/>
        </w:rPr>
        <w:t>će</w:t>
      </w:r>
      <w:proofErr w:type="gramEnd"/>
      <w:r w:rsidRPr="00D671FF">
        <w:rPr>
          <w:rFonts w:ascii="Segoe UI" w:eastAsia="Times New Roman" w:hAnsi="Segoe UI" w:cs="Segoe UI"/>
          <w:color w:val="212529"/>
          <w:sz w:val="24"/>
          <w:szCs w:val="24"/>
        </w:rPr>
        <w:t xml:space="preserve"> se u ovom komentaru razmatrati samo računovodstveni aspekt finansijskog i operativnog lizinga na način kako je to definisano u Odeljku 20 MSFI za MSP.</w:t>
      </w:r>
    </w:p>
    <w:p w:rsidR="00D671FF" w:rsidRPr="00D671FF" w:rsidRDefault="00D671FF" w:rsidP="00D671FF">
      <w:pPr>
        <w:shd w:val="clear" w:color="auto" w:fill="FFFFFF"/>
        <w:spacing w:before="525" w:after="525" w:line="240" w:lineRule="auto"/>
        <w:rPr>
          <w:rFonts w:ascii="Segoe UI" w:eastAsia="Times New Roman" w:hAnsi="Segoe UI" w:cs="Segoe UI"/>
          <w:color w:val="212529"/>
          <w:sz w:val="24"/>
          <w:szCs w:val="24"/>
        </w:rPr>
      </w:pPr>
      <w:r w:rsidRPr="00D671FF">
        <w:rPr>
          <w:rFonts w:ascii="Segoe UI" w:eastAsia="Times New Roman" w:hAnsi="Segoe UI" w:cs="Segoe UI"/>
          <w:color w:val="212529"/>
          <w:sz w:val="24"/>
          <w:szCs w:val="24"/>
        </w:rPr>
        <w:t>Poreski aspekt lizinga uređen je </w:t>
      </w:r>
      <w:hyperlink r:id="rId6" w:tgtFrame="_blank" w:history="1">
        <w:r w:rsidRPr="00D671FF">
          <w:rPr>
            <w:rFonts w:ascii="Segoe UI" w:eastAsia="Times New Roman" w:hAnsi="Segoe UI" w:cs="Segoe UI"/>
            <w:color w:val="0066CC"/>
            <w:sz w:val="24"/>
            <w:szCs w:val="24"/>
            <w:u w:val="single"/>
          </w:rPr>
          <w:t>Zakonom o porezu na dodatu vrednost</w:t>
        </w:r>
      </w:hyperlink>
      <w:r w:rsidRPr="00D671FF">
        <w:rPr>
          <w:rFonts w:ascii="Segoe UI" w:eastAsia="Times New Roman" w:hAnsi="Segoe UI" w:cs="Segoe UI"/>
          <w:color w:val="212529"/>
          <w:sz w:val="24"/>
          <w:szCs w:val="24"/>
        </w:rPr>
        <w:t> ("Sl. glasnik RS", br. 84/2004, 86/2004 - ispr., 61/2005, 61/2007, 93/2012, 108/2013, 6/2014 - usklađeni din. izn., 68/2014 - dr. zakon, 142/2014, 5/2015 - usklađeni din. izn., 83/2015, 5/2016 - usklađeni din. izn., 108/2016 i 7/2017 - usklađeni din. izn., 13/2018 - usklađeni din. izn., 30/2018, 4/2019 - usklađeni din. izn., 72/2019, 8/2020 - usklađeni din. izn. i 153/2020 - dalje: Zakon o PDV) i </w:t>
      </w:r>
      <w:hyperlink r:id="rId7" w:tgtFrame="_blank" w:history="1">
        <w:r w:rsidRPr="00D671FF">
          <w:rPr>
            <w:rFonts w:ascii="Segoe UI" w:eastAsia="Times New Roman" w:hAnsi="Segoe UI" w:cs="Segoe UI"/>
            <w:color w:val="0066CC"/>
            <w:sz w:val="24"/>
            <w:szCs w:val="24"/>
            <w:u w:val="single"/>
          </w:rPr>
          <w:t>Zakonom o porezima na imovinu</w:t>
        </w:r>
      </w:hyperlink>
      <w:r w:rsidRPr="00D671FF">
        <w:rPr>
          <w:rFonts w:ascii="Segoe UI" w:eastAsia="Times New Roman" w:hAnsi="Segoe UI" w:cs="Segoe UI"/>
          <w:color w:val="212529"/>
          <w:sz w:val="24"/>
          <w:szCs w:val="24"/>
        </w:rPr>
        <w:t> ("Sl. glasnik RS", br. 26/2001, "Sl. list SRJ", br. 42/2002 - odluka SUS i "Sl. glasnik RS", br. 80/2002, 80/2002 - dr. zakon, 135/2004, 61/2007, 5/2009, 101/2010, 24/2011, 78/2011, 57/2012 - odluka US, 47/2013 i 68/2014 - dr. zakon, 95/2018, 99/2018 - odluka US, 86/2019 i 144/2020).</w:t>
      </w:r>
    </w:p>
    <w:p w:rsidR="00D671FF" w:rsidRPr="00D671FF" w:rsidRDefault="00D671FF" w:rsidP="00D671FF">
      <w:pPr>
        <w:shd w:val="clear" w:color="auto" w:fill="FFFFFF"/>
        <w:spacing w:after="0" w:line="240" w:lineRule="auto"/>
        <w:rPr>
          <w:rFonts w:ascii="Segoe UI" w:eastAsia="Times New Roman" w:hAnsi="Segoe UI" w:cs="Segoe UI"/>
          <w:color w:val="212529"/>
          <w:sz w:val="24"/>
          <w:szCs w:val="24"/>
        </w:rPr>
      </w:pPr>
      <w:r w:rsidRPr="00D671FF">
        <w:rPr>
          <w:rFonts w:ascii="Segoe UI" w:eastAsia="Times New Roman" w:hAnsi="Segoe UI" w:cs="Segoe UI"/>
          <w:color w:val="212529"/>
          <w:sz w:val="24"/>
          <w:szCs w:val="24"/>
        </w:rPr>
        <w:lastRenderedPageBreak/>
        <w:pict>
          <v:rect id="_x0000_i1025" style="width:0;height:0" o:hralign="center" o:hrstd="t" o:hr="t" fillcolor="#a0a0a0" stroked="f"/>
        </w:pict>
      </w:r>
    </w:p>
    <w:p w:rsidR="00D671FF" w:rsidRPr="00D671FF" w:rsidRDefault="00D671FF" w:rsidP="00D671FF">
      <w:pPr>
        <w:shd w:val="clear" w:color="auto" w:fill="FFFFFF"/>
        <w:spacing w:after="100" w:afterAutospacing="1" w:line="240" w:lineRule="auto"/>
        <w:jc w:val="center"/>
        <w:outlineLvl w:val="1"/>
        <w:rPr>
          <w:rFonts w:ascii="Segoe UI" w:eastAsia="Times New Roman" w:hAnsi="Segoe UI" w:cs="Segoe UI"/>
          <w:color w:val="212529"/>
          <w:sz w:val="36"/>
          <w:szCs w:val="36"/>
        </w:rPr>
      </w:pPr>
      <w:r w:rsidRPr="00D671FF">
        <w:rPr>
          <w:rFonts w:ascii="Segoe UI" w:eastAsia="Times New Roman" w:hAnsi="Segoe UI" w:cs="Segoe UI"/>
          <w:color w:val="212529"/>
          <w:sz w:val="36"/>
          <w:szCs w:val="36"/>
        </w:rPr>
        <w:t>Razlike između finansijskog i operativnog (poslovnog) lizinga prema MSFI za MSP</w:t>
      </w:r>
    </w:p>
    <w:p w:rsidR="00D671FF" w:rsidRPr="00D671FF" w:rsidRDefault="00D671FF" w:rsidP="00D671FF">
      <w:pPr>
        <w:shd w:val="clear" w:color="auto" w:fill="FFFFFF"/>
        <w:spacing w:before="525" w:after="525" w:line="240" w:lineRule="auto"/>
        <w:rPr>
          <w:rFonts w:ascii="Segoe UI" w:eastAsia="Times New Roman" w:hAnsi="Segoe UI" w:cs="Segoe UI"/>
          <w:color w:val="212529"/>
          <w:sz w:val="24"/>
          <w:szCs w:val="24"/>
        </w:rPr>
      </w:pPr>
      <w:proofErr w:type="gramStart"/>
      <w:r w:rsidRPr="00D671FF">
        <w:rPr>
          <w:rFonts w:ascii="Segoe UI" w:eastAsia="Times New Roman" w:hAnsi="Segoe UI" w:cs="Segoe UI"/>
          <w:b/>
          <w:bCs/>
          <w:color w:val="212529"/>
          <w:sz w:val="24"/>
          <w:szCs w:val="24"/>
        </w:rPr>
        <w:t>Finansijski lizing</w:t>
      </w:r>
      <w:r w:rsidRPr="00D671FF">
        <w:rPr>
          <w:rFonts w:ascii="Segoe UI" w:eastAsia="Times New Roman" w:hAnsi="Segoe UI" w:cs="Segoe UI"/>
          <w:color w:val="212529"/>
          <w:sz w:val="24"/>
          <w:szCs w:val="24"/>
        </w:rPr>
        <w:t>u suštini predstavlja specifičan oblik, odnosno vrstu kupoprodajnog odnosa između ugovornih strana kako ga definišu propisi koji uređuju ovu vrstu ugovora, kao i propisi o PDV i računovodstvu.</w:t>
      </w:r>
      <w:proofErr w:type="gramEnd"/>
    </w:p>
    <w:p w:rsidR="00D671FF" w:rsidRPr="00D671FF" w:rsidRDefault="00D671FF" w:rsidP="00D671FF">
      <w:pPr>
        <w:shd w:val="clear" w:color="auto" w:fill="FFFFFF"/>
        <w:spacing w:before="525" w:after="525" w:line="240" w:lineRule="auto"/>
        <w:rPr>
          <w:rFonts w:ascii="Segoe UI" w:eastAsia="Times New Roman" w:hAnsi="Segoe UI" w:cs="Segoe UI"/>
          <w:color w:val="212529"/>
          <w:sz w:val="24"/>
          <w:szCs w:val="24"/>
        </w:rPr>
      </w:pPr>
      <w:r w:rsidRPr="00D671FF">
        <w:rPr>
          <w:rFonts w:ascii="Segoe UI" w:eastAsia="Times New Roman" w:hAnsi="Segoe UI" w:cs="Segoe UI"/>
          <w:b/>
          <w:bCs/>
          <w:color w:val="212529"/>
          <w:sz w:val="24"/>
          <w:szCs w:val="24"/>
        </w:rPr>
        <w:t>Operativni (poslovni) lizing</w:t>
      </w:r>
      <w:r w:rsidRPr="00D671FF">
        <w:rPr>
          <w:rFonts w:ascii="Segoe UI" w:eastAsia="Times New Roman" w:hAnsi="Segoe UI" w:cs="Segoe UI"/>
          <w:color w:val="212529"/>
          <w:sz w:val="24"/>
          <w:szCs w:val="24"/>
        </w:rPr>
        <w:t xml:space="preserve"> predstavlja klasični ugovor o zakupu, s obzirom </w:t>
      </w:r>
      <w:proofErr w:type="gramStart"/>
      <w:r w:rsidRPr="00D671FF">
        <w:rPr>
          <w:rFonts w:ascii="Segoe UI" w:eastAsia="Times New Roman" w:hAnsi="Segoe UI" w:cs="Segoe UI"/>
          <w:color w:val="212529"/>
          <w:sz w:val="24"/>
          <w:szCs w:val="24"/>
        </w:rPr>
        <w:t>na</w:t>
      </w:r>
      <w:proofErr w:type="gramEnd"/>
      <w:r w:rsidRPr="00D671FF">
        <w:rPr>
          <w:rFonts w:ascii="Segoe UI" w:eastAsia="Times New Roman" w:hAnsi="Segoe UI" w:cs="Segoe UI"/>
          <w:color w:val="212529"/>
          <w:sz w:val="24"/>
          <w:szCs w:val="24"/>
        </w:rPr>
        <w:t xml:space="preserve"> to da se u tom slučaju ne prenose rizici i koristi u vezi sa vlasništvom na predmetu zakupa sa zakupodavca na zakupca. Kod operativnog lizinga rok zakupa, odnosno vreme zakupa je znatno kraće </w:t>
      </w:r>
      <w:proofErr w:type="gramStart"/>
      <w:r w:rsidRPr="00D671FF">
        <w:rPr>
          <w:rFonts w:ascii="Segoe UI" w:eastAsia="Times New Roman" w:hAnsi="Segoe UI" w:cs="Segoe UI"/>
          <w:color w:val="212529"/>
          <w:sz w:val="24"/>
          <w:szCs w:val="24"/>
        </w:rPr>
        <w:t>od</w:t>
      </w:r>
      <w:proofErr w:type="gramEnd"/>
      <w:r w:rsidRPr="00D671FF">
        <w:rPr>
          <w:rFonts w:ascii="Segoe UI" w:eastAsia="Times New Roman" w:hAnsi="Segoe UI" w:cs="Segoe UI"/>
          <w:color w:val="212529"/>
          <w:sz w:val="24"/>
          <w:szCs w:val="24"/>
        </w:rPr>
        <w:t xml:space="preserve"> predviđenog ekonomskog veka trajanja sredstva i sadrži klauzulu o opozivu, pa se može otkazati i pre isteka roka zakupa, a ukupan iznos zakupa koji zakupac plaća po pravilu je manji od fer vrednosti sredstva koje se daje u zakup, odnosno operativni lizing.</w:t>
      </w:r>
    </w:p>
    <w:p w:rsidR="00D671FF" w:rsidRPr="00D671FF" w:rsidRDefault="00D671FF" w:rsidP="00D671FF">
      <w:pPr>
        <w:shd w:val="clear" w:color="auto" w:fill="FFFFFF"/>
        <w:spacing w:before="525" w:after="525" w:line="240" w:lineRule="auto"/>
        <w:rPr>
          <w:rFonts w:ascii="Segoe UI" w:eastAsia="Times New Roman" w:hAnsi="Segoe UI" w:cs="Segoe UI"/>
          <w:color w:val="212529"/>
          <w:sz w:val="24"/>
          <w:szCs w:val="24"/>
        </w:rPr>
      </w:pPr>
      <w:proofErr w:type="gramStart"/>
      <w:r w:rsidRPr="00D671FF">
        <w:rPr>
          <w:rFonts w:ascii="Segoe UI" w:eastAsia="Times New Roman" w:hAnsi="Segoe UI" w:cs="Segoe UI"/>
          <w:color w:val="212529"/>
          <w:sz w:val="24"/>
          <w:szCs w:val="24"/>
        </w:rPr>
        <w:t>Forma i sadržina ugovora o finansijskom lizingu, prava i obaveze subjekta i registar finansijskog lizinga uređeni su Zakonom o finansijskom lizingu.</w:t>
      </w:r>
      <w:proofErr w:type="gramEnd"/>
    </w:p>
    <w:p w:rsidR="00D671FF" w:rsidRPr="00D671FF" w:rsidRDefault="00D671FF" w:rsidP="00D671FF">
      <w:pPr>
        <w:shd w:val="clear" w:color="auto" w:fill="FFFFFF"/>
        <w:spacing w:after="0" w:line="240" w:lineRule="auto"/>
        <w:rPr>
          <w:rFonts w:ascii="Segoe UI" w:eastAsia="Times New Roman" w:hAnsi="Segoe UI" w:cs="Segoe UI"/>
          <w:color w:val="212529"/>
          <w:sz w:val="24"/>
          <w:szCs w:val="24"/>
        </w:rPr>
      </w:pPr>
      <w:r w:rsidRPr="00D671FF">
        <w:rPr>
          <w:rFonts w:ascii="Segoe UI" w:eastAsia="Times New Roman" w:hAnsi="Segoe UI" w:cs="Segoe UI"/>
          <w:color w:val="212529"/>
          <w:sz w:val="24"/>
          <w:szCs w:val="24"/>
        </w:rPr>
        <w:br/>
      </w:r>
      <w:r w:rsidRPr="00D671FF">
        <w:rPr>
          <w:rFonts w:ascii="Segoe UI" w:eastAsia="Times New Roman" w:hAnsi="Segoe UI" w:cs="Segoe UI"/>
          <w:color w:val="212529"/>
          <w:sz w:val="24"/>
          <w:szCs w:val="24"/>
        </w:rPr>
        <w:br/>
      </w:r>
    </w:p>
    <w:p w:rsidR="00D671FF" w:rsidRPr="00D671FF" w:rsidRDefault="00D671FF" w:rsidP="00D671FF">
      <w:pPr>
        <w:shd w:val="clear" w:color="auto" w:fill="FFFFFF"/>
        <w:spacing w:before="525" w:after="525" w:line="240" w:lineRule="auto"/>
        <w:rPr>
          <w:rFonts w:ascii="Segoe UI" w:eastAsia="Times New Roman" w:hAnsi="Segoe UI" w:cs="Segoe UI"/>
          <w:color w:val="212529"/>
          <w:sz w:val="24"/>
          <w:szCs w:val="24"/>
        </w:rPr>
      </w:pPr>
      <w:r w:rsidRPr="00D671FF">
        <w:rPr>
          <w:rFonts w:ascii="Segoe UI" w:eastAsia="Times New Roman" w:hAnsi="Segoe UI" w:cs="Segoe UI"/>
          <w:color w:val="212529"/>
          <w:sz w:val="24"/>
          <w:szCs w:val="24"/>
        </w:rPr>
        <w:t>Prema Odeljku 20 MSFI za MSP, </w:t>
      </w:r>
      <w:r w:rsidRPr="00D671FF">
        <w:rPr>
          <w:rFonts w:ascii="Segoe UI" w:eastAsia="Times New Roman" w:hAnsi="Segoe UI" w:cs="Segoe UI"/>
          <w:b/>
          <w:bCs/>
          <w:color w:val="212529"/>
          <w:sz w:val="24"/>
          <w:szCs w:val="24"/>
        </w:rPr>
        <w:t xml:space="preserve">lizing se klasifikuje kao finansijski lizing ukoliko se njim suštinski prenose svi rizici i koristi povezani </w:t>
      </w:r>
      <w:proofErr w:type="gramStart"/>
      <w:r w:rsidRPr="00D671FF">
        <w:rPr>
          <w:rFonts w:ascii="Segoe UI" w:eastAsia="Times New Roman" w:hAnsi="Segoe UI" w:cs="Segoe UI"/>
          <w:b/>
          <w:bCs/>
          <w:color w:val="212529"/>
          <w:sz w:val="24"/>
          <w:szCs w:val="24"/>
        </w:rPr>
        <w:t>sa</w:t>
      </w:r>
      <w:proofErr w:type="gramEnd"/>
      <w:r w:rsidRPr="00D671FF">
        <w:rPr>
          <w:rFonts w:ascii="Segoe UI" w:eastAsia="Times New Roman" w:hAnsi="Segoe UI" w:cs="Segoe UI"/>
          <w:b/>
          <w:bCs/>
          <w:color w:val="212529"/>
          <w:sz w:val="24"/>
          <w:szCs w:val="24"/>
        </w:rPr>
        <w:t xml:space="preserve"> vlasništvom.</w:t>
      </w:r>
      <w:r w:rsidRPr="00D671FF">
        <w:rPr>
          <w:rFonts w:ascii="Segoe UI" w:eastAsia="Times New Roman" w:hAnsi="Segoe UI" w:cs="Segoe UI"/>
          <w:color w:val="212529"/>
          <w:sz w:val="24"/>
          <w:szCs w:val="24"/>
        </w:rPr>
        <w:t xml:space="preserve"> Lizing se klasifikuje kao poslovni (operativni) lizing, ako se njim ne prenose suštinski svi rizici i koristi povezani </w:t>
      </w:r>
      <w:proofErr w:type="gramStart"/>
      <w:r w:rsidRPr="00D671FF">
        <w:rPr>
          <w:rFonts w:ascii="Segoe UI" w:eastAsia="Times New Roman" w:hAnsi="Segoe UI" w:cs="Segoe UI"/>
          <w:color w:val="212529"/>
          <w:sz w:val="24"/>
          <w:szCs w:val="24"/>
        </w:rPr>
        <w:t>sa</w:t>
      </w:r>
      <w:proofErr w:type="gramEnd"/>
      <w:r w:rsidRPr="00D671FF">
        <w:rPr>
          <w:rFonts w:ascii="Segoe UI" w:eastAsia="Times New Roman" w:hAnsi="Segoe UI" w:cs="Segoe UI"/>
          <w:color w:val="212529"/>
          <w:sz w:val="24"/>
          <w:szCs w:val="24"/>
        </w:rPr>
        <w:t xml:space="preserve"> vlasništvom.</w:t>
      </w:r>
    </w:p>
    <w:p w:rsidR="00D671FF" w:rsidRPr="00D671FF" w:rsidRDefault="00D671FF" w:rsidP="00D671FF">
      <w:pPr>
        <w:shd w:val="clear" w:color="auto" w:fill="FFFFFF"/>
        <w:spacing w:before="525" w:after="525" w:line="240" w:lineRule="auto"/>
        <w:rPr>
          <w:rFonts w:ascii="Segoe UI" w:eastAsia="Times New Roman" w:hAnsi="Segoe UI" w:cs="Segoe UI"/>
          <w:color w:val="212529"/>
          <w:sz w:val="24"/>
          <w:szCs w:val="24"/>
        </w:rPr>
      </w:pPr>
      <w:r w:rsidRPr="00D671FF">
        <w:rPr>
          <w:rFonts w:ascii="Segoe UI" w:eastAsia="Times New Roman" w:hAnsi="Segoe UI" w:cs="Segoe UI"/>
          <w:color w:val="212529"/>
          <w:sz w:val="24"/>
          <w:szCs w:val="24"/>
        </w:rPr>
        <w:t xml:space="preserve">Prema paragrafu 20.5 MSFI za MSP razlikovanje finansijskog </w:t>
      </w:r>
      <w:proofErr w:type="gramStart"/>
      <w:r w:rsidRPr="00D671FF">
        <w:rPr>
          <w:rFonts w:ascii="Segoe UI" w:eastAsia="Times New Roman" w:hAnsi="Segoe UI" w:cs="Segoe UI"/>
          <w:color w:val="212529"/>
          <w:sz w:val="24"/>
          <w:szCs w:val="24"/>
        </w:rPr>
        <w:t>od</w:t>
      </w:r>
      <w:proofErr w:type="gramEnd"/>
      <w:r w:rsidRPr="00D671FF">
        <w:rPr>
          <w:rFonts w:ascii="Segoe UI" w:eastAsia="Times New Roman" w:hAnsi="Segoe UI" w:cs="Segoe UI"/>
          <w:color w:val="212529"/>
          <w:sz w:val="24"/>
          <w:szCs w:val="24"/>
        </w:rPr>
        <w:t xml:space="preserve"> poslovnog lizinga, zavisi od suštine transakcije, a ne od forme ugovora. Primeri situacija koje pojedinačno </w:t>
      </w:r>
      <w:proofErr w:type="gramStart"/>
      <w:r w:rsidRPr="00D671FF">
        <w:rPr>
          <w:rFonts w:ascii="Segoe UI" w:eastAsia="Times New Roman" w:hAnsi="Segoe UI" w:cs="Segoe UI"/>
          <w:color w:val="212529"/>
          <w:sz w:val="24"/>
          <w:szCs w:val="24"/>
        </w:rPr>
        <w:t>ili</w:t>
      </w:r>
      <w:proofErr w:type="gramEnd"/>
      <w:r w:rsidRPr="00D671FF">
        <w:rPr>
          <w:rFonts w:ascii="Segoe UI" w:eastAsia="Times New Roman" w:hAnsi="Segoe UI" w:cs="Segoe UI"/>
          <w:color w:val="212529"/>
          <w:sz w:val="24"/>
          <w:szCs w:val="24"/>
        </w:rPr>
        <w:t xml:space="preserve"> zajedno, </w:t>
      </w:r>
      <w:r w:rsidRPr="00D671FF">
        <w:rPr>
          <w:rFonts w:ascii="Segoe UI" w:eastAsia="Times New Roman" w:hAnsi="Segoe UI" w:cs="Segoe UI"/>
          <w:b/>
          <w:bCs/>
          <w:color w:val="212529"/>
          <w:sz w:val="24"/>
          <w:szCs w:val="24"/>
        </w:rPr>
        <w:t>upućuju na klasifikovanje lizinga kao finansijskog su:</w:t>
      </w:r>
    </w:p>
    <w:p w:rsidR="00D671FF" w:rsidRPr="00D671FF" w:rsidRDefault="00D671FF" w:rsidP="00D671FF">
      <w:pPr>
        <w:numPr>
          <w:ilvl w:val="0"/>
          <w:numId w:val="2"/>
        </w:numPr>
        <w:shd w:val="clear" w:color="auto" w:fill="FFFFFF"/>
        <w:spacing w:before="100" w:beforeAutospacing="1" w:after="100" w:afterAutospacing="1" w:line="240" w:lineRule="auto"/>
        <w:rPr>
          <w:rFonts w:ascii="Segoe UI" w:eastAsia="Times New Roman" w:hAnsi="Segoe UI" w:cs="Segoe UI"/>
          <w:color w:val="003366"/>
          <w:sz w:val="27"/>
          <w:szCs w:val="27"/>
        </w:rPr>
      </w:pPr>
      <w:r w:rsidRPr="00D671FF">
        <w:rPr>
          <w:rFonts w:ascii="Segoe UI" w:eastAsia="Times New Roman" w:hAnsi="Segoe UI" w:cs="Segoe UI"/>
          <w:color w:val="003366"/>
          <w:sz w:val="27"/>
          <w:szCs w:val="27"/>
        </w:rPr>
        <w:t>lizingom se prenosi vlasništvo nad sredstvom na korisnika lizinga do kraja trajanja lizinga;</w:t>
      </w:r>
    </w:p>
    <w:p w:rsidR="00D671FF" w:rsidRPr="00D671FF" w:rsidRDefault="00D671FF" w:rsidP="00D671FF">
      <w:pPr>
        <w:numPr>
          <w:ilvl w:val="0"/>
          <w:numId w:val="2"/>
        </w:numPr>
        <w:shd w:val="clear" w:color="auto" w:fill="FFFFFF"/>
        <w:spacing w:before="100" w:beforeAutospacing="1" w:after="100" w:afterAutospacing="1" w:line="240" w:lineRule="auto"/>
        <w:rPr>
          <w:rFonts w:ascii="Segoe UI" w:eastAsia="Times New Roman" w:hAnsi="Segoe UI" w:cs="Segoe UI"/>
          <w:color w:val="003366"/>
          <w:sz w:val="27"/>
          <w:szCs w:val="27"/>
        </w:rPr>
      </w:pPr>
      <w:r w:rsidRPr="00D671FF">
        <w:rPr>
          <w:rFonts w:ascii="Segoe UI" w:eastAsia="Times New Roman" w:hAnsi="Segoe UI" w:cs="Segoe UI"/>
          <w:color w:val="003366"/>
          <w:sz w:val="27"/>
          <w:szCs w:val="27"/>
        </w:rPr>
        <w:t>korisnik lizinga ima opciju da kupi sredstvo po ceni za koju se očekuje da će biti znatno niža od fer vrednosti na datum kada se opcija može iskoristiti, i kada je na početku lizinga razumno očekivati da će se opcija iskoristiti;</w:t>
      </w:r>
    </w:p>
    <w:p w:rsidR="00D671FF" w:rsidRPr="00D671FF" w:rsidRDefault="00D671FF" w:rsidP="00D671FF">
      <w:pPr>
        <w:numPr>
          <w:ilvl w:val="0"/>
          <w:numId w:val="2"/>
        </w:numPr>
        <w:shd w:val="clear" w:color="auto" w:fill="FFFFFF"/>
        <w:spacing w:before="100" w:beforeAutospacing="1" w:after="100" w:afterAutospacing="1" w:line="240" w:lineRule="auto"/>
        <w:rPr>
          <w:rFonts w:ascii="Segoe UI" w:eastAsia="Times New Roman" w:hAnsi="Segoe UI" w:cs="Segoe UI"/>
          <w:color w:val="003366"/>
          <w:sz w:val="27"/>
          <w:szCs w:val="27"/>
        </w:rPr>
      </w:pPr>
      <w:r w:rsidRPr="00D671FF">
        <w:rPr>
          <w:rFonts w:ascii="Segoe UI" w:eastAsia="Times New Roman" w:hAnsi="Segoe UI" w:cs="Segoe UI"/>
          <w:color w:val="003366"/>
          <w:sz w:val="27"/>
          <w:szCs w:val="27"/>
        </w:rPr>
        <w:t>trajanje lizinga se odnosi na veći deo ekonomskog veka sredstva, čak iako se vlasništvo ne prenosi;</w:t>
      </w:r>
    </w:p>
    <w:p w:rsidR="00D671FF" w:rsidRPr="00D671FF" w:rsidRDefault="00D671FF" w:rsidP="00D671FF">
      <w:pPr>
        <w:numPr>
          <w:ilvl w:val="0"/>
          <w:numId w:val="2"/>
        </w:numPr>
        <w:shd w:val="clear" w:color="auto" w:fill="FFFFFF"/>
        <w:spacing w:before="100" w:beforeAutospacing="1" w:after="100" w:afterAutospacing="1" w:line="240" w:lineRule="auto"/>
        <w:rPr>
          <w:rFonts w:ascii="Segoe UI" w:eastAsia="Times New Roman" w:hAnsi="Segoe UI" w:cs="Segoe UI"/>
          <w:color w:val="003366"/>
          <w:sz w:val="27"/>
          <w:szCs w:val="27"/>
        </w:rPr>
      </w:pPr>
      <w:r w:rsidRPr="00D671FF">
        <w:rPr>
          <w:rFonts w:ascii="Segoe UI" w:eastAsia="Times New Roman" w:hAnsi="Segoe UI" w:cs="Segoe UI"/>
          <w:color w:val="003366"/>
          <w:sz w:val="27"/>
          <w:szCs w:val="27"/>
        </w:rPr>
        <w:t>na početku lizinga sadašnja vrednost minimalnih plaćanja za lizing veća je ili jednaka ukupnoj fer vrednosti sredstva koje je predmet lizinga; i</w:t>
      </w:r>
    </w:p>
    <w:p w:rsidR="00D671FF" w:rsidRPr="00D671FF" w:rsidRDefault="00D671FF" w:rsidP="00D671FF">
      <w:pPr>
        <w:numPr>
          <w:ilvl w:val="0"/>
          <w:numId w:val="2"/>
        </w:numPr>
        <w:shd w:val="clear" w:color="auto" w:fill="FFFFFF"/>
        <w:spacing w:before="100" w:beforeAutospacing="1" w:after="100" w:afterAutospacing="1" w:line="240" w:lineRule="auto"/>
        <w:rPr>
          <w:rFonts w:ascii="Segoe UI" w:eastAsia="Times New Roman" w:hAnsi="Segoe UI" w:cs="Segoe UI"/>
          <w:color w:val="003366"/>
          <w:sz w:val="27"/>
          <w:szCs w:val="27"/>
        </w:rPr>
      </w:pPr>
      <w:proofErr w:type="gramStart"/>
      <w:r w:rsidRPr="00D671FF">
        <w:rPr>
          <w:rFonts w:ascii="Segoe UI" w:eastAsia="Times New Roman" w:hAnsi="Segoe UI" w:cs="Segoe UI"/>
          <w:color w:val="003366"/>
          <w:sz w:val="27"/>
          <w:szCs w:val="27"/>
        </w:rPr>
        <w:t>sredstva</w:t>
      </w:r>
      <w:proofErr w:type="gramEnd"/>
      <w:r w:rsidRPr="00D671FF">
        <w:rPr>
          <w:rFonts w:ascii="Segoe UI" w:eastAsia="Times New Roman" w:hAnsi="Segoe UI" w:cs="Segoe UI"/>
          <w:color w:val="003366"/>
          <w:sz w:val="27"/>
          <w:szCs w:val="27"/>
        </w:rPr>
        <w:t xml:space="preserve"> koja su predmet lizinga su specifične prirode, tako da ih bez značajnih modifikacija može koristiti samo korisnik lizinga.</w:t>
      </w:r>
    </w:p>
    <w:p w:rsidR="00D671FF" w:rsidRPr="00D671FF" w:rsidRDefault="00D671FF" w:rsidP="00D671FF">
      <w:pPr>
        <w:shd w:val="clear" w:color="auto" w:fill="FFFFFF"/>
        <w:spacing w:after="0" w:line="240" w:lineRule="auto"/>
        <w:rPr>
          <w:rFonts w:ascii="Segoe UI" w:eastAsia="Times New Roman" w:hAnsi="Segoe UI" w:cs="Segoe UI"/>
          <w:color w:val="212529"/>
          <w:sz w:val="24"/>
          <w:szCs w:val="24"/>
        </w:rPr>
      </w:pPr>
      <w:r w:rsidRPr="00D671FF">
        <w:rPr>
          <w:rFonts w:ascii="Segoe UI" w:eastAsia="Times New Roman" w:hAnsi="Segoe UI" w:cs="Segoe UI"/>
          <w:color w:val="212529"/>
          <w:sz w:val="24"/>
          <w:szCs w:val="24"/>
        </w:rPr>
        <w:br/>
      </w:r>
      <w:r w:rsidRPr="00D671FF">
        <w:rPr>
          <w:rFonts w:ascii="Segoe UI" w:eastAsia="Times New Roman" w:hAnsi="Segoe UI" w:cs="Segoe UI"/>
          <w:color w:val="212529"/>
          <w:sz w:val="24"/>
          <w:szCs w:val="24"/>
        </w:rPr>
        <w:br/>
      </w:r>
      <w:r w:rsidRPr="00D671FF">
        <w:rPr>
          <w:rFonts w:ascii="Segoe UI" w:eastAsia="Times New Roman" w:hAnsi="Segoe UI" w:cs="Segoe UI"/>
          <w:color w:val="212529"/>
          <w:sz w:val="24"/>
          <w:szCs w:val="24"/>
        </w:rPr>
        <w:br/>
      </w:r>
    </w:p>
    <w:p w:rsidR="00D671FF" w:rsidRPr="00D671FF" w:rsidRDefault="00D671FF" w:rsidP="00D671FF">
      <w:pPr>
        <w:shd w:val="clear" w:color="auto" w:fill="FFFFFF"/>
        <w:spacing w:after="0" w:line="240" w:lineRule="auto"/>
        <w:rPr>
          <w:rFonts w:ascii="Segoe UI" w:eastAsia="Times New Roman" w:hAnsi="Segoe UI" w:cs="Segoe UI"/>
          <w:color w:val="212529"/>
          <w:sz w:val="24"/>
          <w:szCs w:val="24"/>
        </w:rPr>
      </w:pPr>
      <w:r w:rsidRPr="00D671FF">
        <w:rPr>
          <w:rFonts w:ascii="Segoe UI" w:eastAsia="Times New Roman" w:hAnsi="Segoe UI" w:cs="Segoe UI"/>
          <w:color w:val="212529"/>
          <w:sz w:val="24"/>
          <w:szCs w:val="24"/>
        </w:rPr>
        <w:pict>
          <v:rect id="_x0000_i1026" style="width:0;height:0" o:hralign="center" o:hrstd="t" o:hr="t" fillcolor="#a0a0a0" stroked="f"/>
        </w:pict>
      </w:r>
    </w:p>
    <w:p w:rsidR="00D671FF" w:rsidRPr="00D671FF" w:rsidRDefault="00D671FF" w:rsidP="00D671FF">
      <w:pPr>
        <w:shd w:val="clear" w:color="auto" w:fill="FFFFFF"/>
        <w:spacing w:before="525" w:after="525" w:line="240" w:lineRule="auto"/>
        <w:rPr>
          <w:rFonts w:ascii="Segoe UI" w:eastAsia="Times New Roman" w:hAnsi="Segoe UI" w:cs="Segoe UI"/>
          <w:color w:val="212529"/>
          <w:sz w:val="24"/>
          <w:szCs w:val="24"/>
        </w:rPr>
      </w:pPr>
      <w:r w:rsidRPr="00D671FF">
        <w:rPr>
          <w:rFonts w:ascii="Segoe UI" w:eastAsia="Times New Roman" w:hAnsi="Segoe UI" w:cs="Segoe UI"/>
          <w:color w:val="212529"/>
          <w:sz w:val="24"/>
          <w:szCs w:val="24"/>
        </w:rPr>
        <w:t xml:space="preserve">U skladu </w:t>
      </w:r>
      <w:proofErr w:type="gramStart"/>
      <w:r w:rsidRPr="00D671FF">
        <w:rPr>
          <w:rFonts w:ascii="Segoe UI" w:eastAsia="Times New Roman" w:hAnsi="Segoe UI" w:cs="Segoe UI"/>
          <w:color w:val="212529"/>
          <w:sz w:val="24"/>
          <w:szCs w:val="24"/>
        </w:rPr>
        <w:t>sa</w:t>
      </w:r>
      <w:proofErr w:type="gramEnd"/>
      <w:r w:rsidRPr="00D671FF">
        <w:rPr>
          <w:rFonts w:ascii="Segoe UI" w:eastAsia="Times New Roman" w:hAnsi="Segoe UI" w:cs="Segoe UI"/>
          <w:color w:val="212529"/>
          <w:sz w:val="24"/>
          <w:szCs w:val="24"/>
        </w:rPr>
        <w:t xml:space="preserve"> paragrafom 20.6 MSFI za MSP, </w:t>
      </w:r>
      <w:r w:rsidRPr="00D671FF">
        <w:rPr>
          <w:rFonts w:ascii="Segoe UI" w:eastAsia="Times New Roman" w:hAnsi="Segoe UI" w:cs="Segoe UI"/>
          <w:b/>
          <w:bCs/>
          <w:color w:val="212529"/>
          <w:sz w:val="24"/>
          <w:szCs w:val="24"/>
        </w:rPr>
        <w:t>indikatori situacija koje bi individualno ili u kombinaciji mogle takođe upućivati na klasifikovanje lizinga kao finansijskog lizinga su:</w:t>
      </w:r>
    </w:p>
    <w:p w:rsidR="00D671FF" w:rsidRPr="00D671FF" w:rsidRDefault="00D671FF" w:rsidP="00D671FF">
      <w:pPr>
        <w:numPr>
          <w:ilvl w:val="0"/>
          <w:numId w:val="3"/>
        </w:numPr>
        <w:shd w:val="clear" w:color="auto" w:fill="FFFFFF"/>
        <w:spacing w:before="100" w:beforeAutospacing="1" w:after="100" w:afterAutospacing="1" w:line="240" w:lineRule="auto"/>
        <w:rPr>
          <w:rFonts w:ascii="Segoe UI" w:eastAsia="Times New Roman" w:hAnsi="Segoe UI" w:cs="Segoe UI"/>
          <w:color w:val="003366"/>
          <w:sz w:val="27"/>
          <w:szCs w:val="27"/>
        </w:rPr>
      </w:pPr>
      <w:r w:rsidRPr="00D671FF">
        <w:rPr>
          <w:rFonts w:ascii="Segoe UI" w:eastAsia="Times New Roman" w:hAnsi="Segoe UI" w:cs="Segoe UI"/>
          <w:color w:val="003366"/>
          <w:sz w:val="27"/>
          <w:szCs w:val="27"/>
        </w:rPr>
        <w:t>ukoliko korisnik lizinga može opozvati lizing, gubitke davaoca lizinga zbog ovog opoziva snosi korisnik lizinga;</w:t>
      </w:r>
    </w:p>
    <w:p w:rsidR="00D671FF" w:rsidRPr="00D671FF" w:rsidRDefault="00D671FF" w:rsidP="00D671FF">
      <w:pPr>
        <w:numPr>
          <w:ilvl w:val="0"/>
          <w:numId w:val="3"/>
        </w:numPr>
        <w:shd w:val="clear" w:color="auto" w:fill="FFFFFF"/>
        <w:spacing w:before="100" w:beforeAutospacing="1" w:after="100" w:afterAutospacing="1" w:line="240" w:lineRule="auto"/>
        <w:rPr>
          <w:rFonts w:ascii="Segoe UI" w:eastAsia="Times New Roman" w:hAnsi="Segoe UI" w:cs="Segoe UI"/>
          <w:color w:val="003366"/>
          <w:sz w:val="27"/>
          <w:szCs w:val="27"/>
        </w:rPr>
      </w:pPr>
      <w:r w:rsidRPr="00D671FF">
        <w:rPr>
          <w:rFonts w:ascii="Segoe UI" w:eastAsia="Times New Roman" w:hAnsi="Segoe UI" w:cs="Segoe UI"/>
          <w:color w:val="003366"/>
          <w:sz w:val="27"/>
          <w:szCs w:val="27"/>
        </w:rPr>
        <w:t>dobici ili gubici od fluktuacija rezidualne vrednosti sredstva koje je predmet lizinga padaju na teret korisnika lizinga (na primer, popust na zakupninu koji je jednak najvećem delu prihoda od prodaje na kraju trajanja lizinga), i</w:t>
      </w:r>
    </w:p>
    <w:p w:rsidR="00D671FF" w:rsidRPr="00D671FF" w:rsidRDefault="00D671FF" w:rsidP="00D671FF">
      <w:pPr>
        <w:numPr>
          <w:ilvl w:val="0"/>
          <w:numId w:val="3"/>
        </w:numPr>
        <w:shd w:val="clear" w:color="auto" w:fill="FFFFFF"/>
        <w:spacing w:before="100" w:beforeAutospacing="1" w:after="100" w:afterAutospacing="1" w:line="240" w:lineRule="auto"/>
        <w:rPr>
          <w:rFonts w:ascii="Segoe UI" w:eastAsia="Times New Roman" w:hAnsi="Segoe UI" w:cs="Segoe UI"/>
          <w:color w:val="003366"/>
          <w:sz w:val="27"/>
          <w:szCs w:val="27"/>
        </w:rPr>
      </w:pPr>
      <w:proofErr w:type="gramStart"/>
      <w:r w:rsidRPr="00D671FF">
        <w:rPr>
          <w:rFonts w:ascii="Segoe UI" w:eastAsia="Times New Roman" w:hAnsi="Segoe UI" w:cs="Segoe UI"/>
          <w:color w:val="003366"/>
          <w:sz w:val="27"/>
          <w:szCs w:val="27"/>
        </w:rPr>
        <w:t>korisnik</w:t>
      </w:r>
      <w:proofErr w:type="gramEnd"/>
      <w:r w:rsidRPr="00D671FF">
        <w:rPr>
          <w:rFonts w:ascii="Segoe UI" w:eastAsia="Times New Roman" w:hAnsi="Segoe UI" w:cs="Segoe UI"/>
          <w:color w:val="003366"/>
          <w:sz w:val="27"/>
          <w:szCs w:val="27"/>
        </w:rPr>
        <w:t xml:space="preserve"> lizinga ima mogućnost da nastavi lizing u narednom periodu, uz zakupninu koja je znatno niža od tržišne zakupnine.</w:t>
      </w:r>
    </w:p>
    <w:p w:rsidR="00D671FF" w:rsidRPr="00D671FF" w:rsidRDefault="00D671FF" w:rsidP="00D671FF">
      <w:pPr>
        <w:shd w:val="clear" w:color="auto" w:fill="FFFFFF"/>
        <w:spacing w:before="525" w:after="525" w:line="240" w:lineRule="auto"/>
        <w:rPr>
          <w:rFonts w:ascii="Segoe UI" w:eastAsia="Times New Roman" w:hAnsi="Segoe UI" w:cs="Segoe UI"/>
          <w:color w:val="212529"/>
          <w:sz w:val="24"/>
          <w:szCs w:val="24"/>
        </w:rPr>
      </w:pPr>
      <w:r w:rsidRPr="00D671FF">
        <w:rPr>
          <w:rFonts w:ascii="Segoe UI" w:eastAsia="Times New Roman" w:hAnsi="Segoe UI" w:cs="Segoe UI"/>
          <w:color w:val="212529"/>
          <w:sz w:val="24"/>
          <w:szCs w:val="24"/>
        </w:rPr>
        <w:t xml:space="preserve">Navedeni primeri i indikatori za razlikovanje finansijskog </w:t>
      </w:r>
      <w:proofErr w:type="gramStart"/>
      <w:r w:rsidRPr="00D671FF">
        <w:rPr>
          <w:rFonts w:ascii="Segoe UI" w:eastAsia="Times New Roman" w:hAnsi="Segoe UI" w:cs="Segoe UI"/>
          <w:color w:val="212529"/>
          <w:sz w:val="24"/>
          <w:szCs w:val="24"/>
        </w:rPr>
        <w:t>od</w:t>
      </w:r>
      <w:proofErr w:type="gramEnd"/>
      <w:r w:rsidRPr="00D671FF">
        <w:rPr>
          <w:rFonts w:ascii="Segoe UI" w:eastAsia="Times New Roman" w:hAnsi="Segoe UI" w:cs="Segoe UI"/>
          <w:color w:val="212529"/>
          <w:sz w:val="24"/>
          <w:szCs w:val="24"/>
        </w:rPr>
        <w:t xml:space="preserve"> poslovnog lizinga nisu uvek konačni. Ako je jasno </w:t>
      </w:r>
      <w:proofErr w:type="gramStart"/>
      <w:r w:rsidRPr="00D671FF">
        <w:rPr>
          <w:rFonts w:ascii="Segoe UI" w:eastAsia="Times New Roman" w:hAnsi="Segoe UI" w:cs="Segoe UI"/>
          <w:color w:val="212529"/>
          <w:sz w:val="24"/>
          <w:szCs w:val="24"/>
        </w:rPr>
        <w:t>na</w:t>
      </w:r>
      <w:proofErr w:type="gramEnd"/>
      <w:r w:rsidRPr="00D671FF">
        <w:rPr>
          <w:rFonts w:ascii="Segoe UI" w:eastAsia="Times New Roman" w:hAnsi="Segoe UI" w:cs="Segoe UI"/>
          <w:color w:val="212529"/>
          <w:sz w:val="24"/>
          <w:szCs w:val="24"/>
        </w:rPr>
        <w:t xml:space="preserve"> osnovu ostalih karakteristika, da se lizingom ne prenose suštinski svi rizici i koristi svojstveni vlasništvu, lizing se klasifikuje kao poslovni lizing. Na primer, to može biti slučaj kada se vlasništvo </w:t>
      </w:r>
      <w:proofErr w:type="gramStart"/>
      <w:r w:rsidRPr="00D671FF">
        <w:rPr>
          <w:rFonts w:ascii="Segoe UI" w:eastAsia="Times New Roman" w:hAnsi="Segoe UI" w:cs="Segoe UI"/>
          <w:color w:val="212529"/>
          <w:sz w:val="24"/>
          <w:szCs w:val="24"/>
        </w:rPr>
        <w:t>nad</w:t>
      </w:r>
      <w:proofErr w:type="gramEnd"/>
      <w:r w:rsidRPr="00D671FF">
        <w:rPr>
          <w:rFonts w:ascii="Segoe UI" w:eastAsia="Times New Roman" w:hAnsi="Segoe UI" w:cs="Segoe UI"/>
          <w:color w:val="212529"/>
          <w:sz w:val="24"/>
          <w:szCs w:val="24"/>
        </w:rPr>
        <w:t xml:space="preserve"> sredstvom prenosi na kraju lizinga u zamenu za varijabilno plaćanje koje je jednako njegovoj tadašnjoj fer vrednosti, ili ako postoji potencijalna zakupnina zbog koje korisnik lizinga ne snosi suštinski sve rizike i koristi.</w:t>
      </w:r>
    </w:p>
    <w:p w:rsidR="00D671FF" w:rsidRPr="00D671FF" w:rsidRDefault="00D671FF" w:rsidP="00D671FF">
      <w:pPr>
        <w:shd w:val="clear" w:color="auto" w:fill="FFFFFF"/>
        <w:spacing w:before="525" w:after="525" w:line="240" w:lineRule="auto"/>
        <w:rPr>
          <w:rFonts w:ascii="Segoe UI" w:eastAsia="Times New Roman" w:hAnsi="Segoe UI" w:cs="Segoe UI"/>
          <w:color w:val="212529"/>
          <w:sz w:val="24"/>
          <w:szCs w:val="24"/>
        </w:rPr>
      </w:pPr>
      <w:r w:rsidRPr="00D671FF">
        <w:rPr>
          <w:rFonts w:ascii="Segoe UI" w:eastAsia="Times New Roman" w:hAnsi="Segoe UI" w:cs="Segoe UI"/>
          <w:b/>
          <w:bCs/>
          <w:color w:val="212529"/>
          <w:sz w:val="24"/>
          <w:szCs w:val="24"/>
        </w:rPr>
        <w:t xml:space="preserve">Klasifikovanje lizinga se vrši </w:t>
      </w:r>
      <w:proofErr w:type="gramStart"/>
      <w:r w:rsidRPr="00D671FF">
        <w:rPr>
          <w:rFonts w:ascii="Segoe UI" w:eastAsia="Times New Roman" w:hAnsi="Segoe UI" w:cs="Segoe UI"/>
          <w:b/>
          <w:bCs/>
          <w:color w:val="212529"/>
          <w:sz w:val="24"/>
          <w:szCs w:val="24"/>
        </w:rPr>
        <w:t>na</w:t>
      </w:r>
      <w:proofErr w:type="gramEnd"/>
      <w:r w:rsidRPr="00D671FF">
        <w:rPr>
          <w:rFonts w:ascii="Segoe UI" w:eastAsia="Times New Roman" w:hAnsi="Segoe UI" w:cs="Segoe UI"/>
          <w:b/>
          <w:bCs/>
          <w:color w:val="212529"/>
          <w:sz w:val="24"/>
          <w:szCs w:val="24"/>
        </w:rPr>
        <w:t xml:space="preserve"> početku lizinga i ne menja se tokom trajanja lizinga osim</w:t>
      </w:r>
      <w:r w:rsidRPr="00D671FF">
        <w:rPr>
          <w:rFonts w:ascii="Segoe UI" w:eastAsia="Times New Roman" w:hAnsi="Segoe UI" w:cs="Segoe UI"/>
          <w:color w:val="212529"/>
          <w:sz w:val="24"/>
          <w:szCs w:val="24"/>
        </w:rPr>
        <w:t> ukoliko se korisnik lizinga i davalac lizinga slože da promene odredbe ugovora o lizingu (osim obnavljanja lizinga), u kom slučaju klasifikacija lizinga treba ponovo da se izvrši.</w:t>
      </w:r>
    </w:p>
    <w:p w:rsidR="00D671FF" w:rsidRPr="00D671FF" w:rsidRDefault="00D671FF" w:rsidP="00D671FF">
      <w:pPr>
        <w:shd w:val="clear" w:color="auto" w:fill="FFFFFF"/>
        <w:spacing w:before="525" w:after="525" w:line="240" w:lineRule="auto"/>
        <w:rPr>
          <w:rFonts w:ascii="Segoe UI" w:eastAsia="Times New Roman" w:hAnsi="Segoe UI" w:cs="Segoe UI"/>
          <w:color w:val="212529"/>
          <w:sz w:val="24"/>
          <w:szCs w:val="24"/>
        </w:rPr>
      </w:pPr>
      <w:r w:rsidRPr="00D671FF">
        <w:rPr>
          <w:rFonts w:ascii="Segoe UI" w:eastAsia="Times New Roman" w:hAnsi="Segoe UI" w:cs="Segoe UI"/>
          <w:color w:val="212529"/>
          <w:sz w:val="24"/>
          <w:szCs w:val="24"/>
        </w:rPr>
        <w:t xml:space="preserve">Iz navedenih kriterijuma proizilazi da </w:t>
      </w:r>
      <w:proofErr w:type="gramStart"/>
      <w:r w:rsidRPr="00D671FF">
        <w:rPr>
          <w:rFonts w:ascii="Segoe UI" w:eastAsia="Times New Roman" w:hAnsi="Segoe UI" w:cs="Segoe UI"/>
          <w:color w:val="212529"/>
          <w:sz w:val="24"/>
          <w:szCs w:val="24"/>
        </w:rPr>
        <w:t>će</w:t>
      </w:r>
      <w:proofErr w:type="gramEnd"/>
      <w:r w:rsidRPr="00D671FF">
        <w:rPr>
          <w:rFonts w:ascii="Segoe UI" w:eastAsia="Times New Roman" w:hAnsi="Segoe UI" w:cs="Segoe UI"/>
          <w:color w:val="212529"/>
          <w:sz w:val="24"/>
          <w:szCs w:val="24"/>
        </w:rPr>
        <w:t xml:space="preserve"> svaki lizing koji prema svojoj ekonomskoj suštini ima više odlika kupoprodaje biti razvrstan kao finansijski.</w:t>
      </w:r>
    </w:p>
    <w:p w:rsidR="00D671FF" w:rsidRPr="00D671FF" w:rsidRDefault="00D671FF" w:rsidP="00D671FF">
      <w:pPr>
        <w:shd w:val="clear" w:color="auto" w:fill="FFFFFF"/>
        <w:spacing w:after="0" w:line="240" w:lineRule="auto"/>
        <w:rPr>
          <w:rFonts w:ascii="Segoe UI" w:eastAsia="Times New Roman" w:hAnsi="Segoe UI" w:cs="Segoe UI"/>
          <w:color w:val="212529"/>
          <w:sz w:val="24"/>
          <w:szCs w:val="24"/>
        </w:rPr>
      </w:pPr>
      <w:r w:rsidRPr="00D671FF">
        <w:rPr>
          <w:rFonts w:ascii="Segoe UI" w:eastAsia="Times New Roman" w:hAnsi="Segoe UI" w:cs="Segoe UI"/>
          <w:color w:val="212529"/>
          <w:sz w:val="24"/>
          <w:szCs w:val="24"/>
        </w:rPr>
        <w:pict>
          <v:rect id="_x0000_i1027" style="width:0;height:0" o:hralign="center" o:hrstd="t" o:hr="t" fillcolor="#a0a0a0" stroked="f"/>
        </w:pict>
      </w:r>
    </w:p>
    <w:p w:rsidR="00D671FF" w:rsidRPr="00D671FF" w:rsidRDefault="00D671FF" w:rsidP="00D671FF">
      <w:pPr>
        <w:shd w:val="clear" w:color="auto" w:fill="FFFFFF"/>
        <w:spacing w:after="100" w:afterAutospacing="1" w:line="240" w:lineRule="auto"/>
        <w:jc w:val="center"/>
        <w:outlineLvl w:val="1"/>
        <w:rPr>
          <w:rFonts w:ascii="Segoe UI" w:eastAsia="Times New Roman" w:hAnsi="Segoe UI" w:cs="Segoe UI"/>
          <w:color w:val="212529"/>
          <w:sz w:val="36"/>
          <w:szCs w:val="36"/>
        </w:rPr>
      </w:pPr>
      <w:r w:rsidRPr="00D671FF">
        <w:rPr>
          <w:rFonts w:ascii="Segoe UI" w:eastAsia="Times New Roman" w:hAnsi="Segoe UI" w:cs="Segoe UI"/>
          <w:color w:val="212529"/>
          <w:sz w:val="36"/>
          <w:szCs w:val="36"/>
        </w:rPr>
        <w:t>Razlike između finansijskog i operativnog (poslovnog) lizinga prema poreskim propisima</w:t>
      </w:r>
    </w:p>
    <w:p w:rsidR="00D671FF" w:rsidRPr="00D671FF" w:rsidRDefault="00D671FF" w:rsidP="00D671FF">
      <w:pPr>
        <w:shd w:val="clear" w:color="auto" w:fill="FFFFFF"/>
        <w:spacing w:before="525" w:after="525" w:line="240" w:lineRule="auto"/>
        <w:rPr>
          <w:rFonts w:ascii="Segoe UI" w:eastAsia="Times New Roman" w:hAnsi="Segoe UI" w:cs="Segoe UI"/>
          <w:color w:val="212529"/>
          <w:sz w:val="24"/>
          <w:szCs w:val="24"/>
        </w:rPr>
      </w:pPr>
      <w:r w:rsidRPr="00D671FF">
        <w:rPr>
          <w:rFonts w:ascii="Segoe UI" w:eastAsia="Times New Roman" w:hAnsi="Segoe UI" w:cs="Segoe UI"/>
          <w:color w:val="212529"/>
          <w:sz w:val="24"/>
          <w:szCs w:val="24"/>
        </w:rPr>
        <w:t xml:space="preserve">Razlika između finansijskog i operativnog (poslovnog) lizinga uređena je poreskim propisima </w:t>
      </w:r>
      <w:proofErr w:type="gramStart"/>
      <w:r w:rsidRPr="00D671FF">
        <w:rPr>
          <w:rFonts w:ascii="Segoe UI" w:eastAsia="Times New Roman" w:hAnsi="Segoe UI" w:cs="Segoe UI"/>
          <w:color w:val="212529"/>
          <w:sz w:val="24"/>
          <w:szCs w:val="24"/>
        </w:rPr>
        <w:t>na</w:t>
      </w:r>
      <w:proofErr w:type="gramEnd"/>
      <w:r w:rsidRPr="00D671FF">
        <w:rPr>
          <w:rFonts w:ascii="Segoe UI" w:eastAsia="Times New Roman" w:hAnsi="Segoe UI" w:cs="Segoe UI"/>
          <w:color w:val="212529"/>
          <w:sz w:val="24"/>
          <w:szCs w:val="24"/>
        </w:rPr>
        <w:t xml:space="preserve"> sličan način kao i računovodstvenim.</w:t>
      </w:r>
    </w:p>
    <w:p w:rsidR="00D671FF" w:rsidRPr="00D671FF" w:rsidRDefault="00D671FF" w:rsidP="00D671FF">
      <w:pPr>
        <w:shd w:val="clear" w:color="auto" w:fill="FFFFFF"/>
        <w:spacing w:before="525" w:after="525" w:line="240" w:lineRule="auto"/>
        <w:rPr>
          <w:rFonts w:ascii="Segoe UI" w:eastAsia="Times New Roman" w:hAnsi="Segoe UI" w:cs="Segoe UI"/>
          <w:color w:val="212529"/>
          <w:sz w:val="24"/>
          <w:szCs w:val="24"/>
        </w:rPr>
      </w:pPr>
      <w:r w:rsidRPr="00D671FF">
        <w:rPr>
          <w:rFonts w:ascii="Segoe UI" w:eastAsia="Times New Roman" w:hAnsi="Segoe UI" w:cs="Segoe UI"/>
          <w:color w:val="212529"/>
          <w:sz w:val="24"/>
          <w:szCs w:val="24"/>
        </w:rPr>
        <w:t xml:space="preserve">Naime, Zakonom o PDV oporezovan je promet dobara koji se vrši </w:t>
      </w:r>
      <w:proofErr w:type="gramStart"/>
      <w:r w:rsidRPr="00D671FF">
        <w:rPr>
          <w:rFonts w:ascii="Segoe UI" w:eastAsia="Times New Roman" w:hAnsi="Segoe UI" w:cs="Segoe UI"/>
          <w:color w:val="212529"/>
          <w:sz w:val="24"/>
          <w:szCs w:val="24"/>
        </w:rPr>
        <w:t>na</w:t>
      </w:r>
      <w:proofErr w:type="gramEnd"/>
      <w:r w:rsidRPr="00D671FF">
        <w:rPr>
          <w:rFonts w:ascii="Segoe UI" w:eastAsia="Times New Roman" w:hAnsi="Segoe UI" w:cs="Segoe UI"/>
          <w:color w:val="212529"/>
          <w:sz w:val="24"/>
          <w:szCs w:val="24"/>
        </w:rPr>
        <w:t xml:space="preserve"> osnovu ugovora o finansijskom lizingu i promet usluga koji se vrši po ugovorima o operativnom lizingu. Usled značajnih razlika koje postoje između oporezivanja prometa dobara i prometa usluga, u pogledu </w:t>
      </w:r>
      <w:proofErr w:type="gramStart"/>
      <w:r w:rsidRPr="00D671FF">
        <w:rPr>
          <w:rFonts w:ascii="Segoe UI" w:eastAsia="Times New Roman" w:hAnsi="Segoe UI" w:cs="Segoe UI"/>
          <w:color w:val="212529"/>
          <w:sz w:val="24"/>
          <w:szCs w:val="24"/>
        </w:rPr>
        <w:t>mesta</w:t>
      </w:r>
      <w:proofErr w:type="gramEnd"/>
      <w:r w:rsidRPr="00D671FF">
        <w:rPr>
          <w:rFonts w:ascii="Segoe UI" w:eastAsia="Times New Roman" w:hAnsi="Segoe UI" w:cs="Segoe UI"/>
          <w:color w:val="212529"/>
          <w:sz w:val="24"/>
          <w:szCs w:val="24"/>
        </w:rPr>
        <w:t xml:space="preserve"> i vremena prometa, poreske osnovice, nastanka poreske obaveze, ispravke odbitka prethodnog poreza i dr, propisima o PDV posebno je uređeno oporezivanje prometa dobara po osnovu ugovora o finansijskom lizingu, a posebno oporezivanje prometa usluga operativnog (poslovnog) lizinga, odnosno zakupa.</w:t>
      </w:r>
    </w:p>
    <w:p w:rsidR="00D671FF" w:rsidRPr="00D671FF" w:rsidRDefault="00D671FF" w:rsidP="00D671FF">
      <w:pPr>
        <w:shd w:val="clear" w:color="auto" w:fill="FFFFFF"/>
        <w:spacing w:before="525" w:after="525" w:line="240" w:lineRule="auto"/>
        <w:rPr>
          <w:rFonts w:ascii="Segoe UI" w:eastAsia="Times New Roman" w:hAnsi="Segoe UI" w:cs="Segoe UI"/>
          <w:color w:val="212529"/>
          <w:sz w:val="24"/>
          <w:szCs w:val="24"/>
        </w:rPr>
      </w:pPr>
      <w:r w:rsidRPr="00D671FF">
        <w:rPr>
          <w:rFonts w:ascii="Segoe UI" w:eastAsia="Times New Roman" w:hAnsi="Segoe UI" w:cs="Segoe UI"/>
          <w:color w:val="212529"/>
          <w:sz w:val="24"/>
          <w:szCs w:val="24"/>
        </w:rPr>
        <w:t xml:space="preserve">Ugovor o finansijskom lizingu obavezno se zaključuje u pisanoj formi i predmet je upisa u odgovarajući Registar finansijskog lizinga koji se vodi kod Agencije za privredne registre u skladu </w:t>
      </w:r>
      <w:proofErr w:type="gramStart"/>
      <w:r w:rsidRPr="00D671FF">
        <w:rPr>
          <w:rFonts w:ascii="Segoe UI" w:eastAsia="Times New Roman" w:hAnsi="Segoe UI" w:cs="Segoe UI"/>
          <w:color w:val="212529"/>
          <w:sz w:val="24"/>
          <w:szCs w:val="24"/>
        </w:rPr>
        <w:t>sa</w:t>
      </w:r>
      <w:proofErr w:type="gramEnd"/>
      <w:r w:rsidRPr="00D671FF">
        <w:rPr>
          <w:rFonts w:ascii="Segoe UI" w:eastAsia="Times New Roman" w:hAnsi="Segoe UI" w:cs="Segoe UI"/>
          <w:color w:val="212529"/>
          <w:sz w:val="24"/>
          <w:szCs w:val="24"/>
        </w:rPr>
        <w:t xml:space="preserve"> Zakonom o finansijskom lizingu. Za razliku </w:t>
      </w:r>
      <w:proofErr w:type="gramStart"/>
      <w:r w:rsidRPr="00D671FF">
        <w:rPr>
          <w:rFonts w:ascii="Segoe UI" w:eastAsia="Times New Roman" w:hAnsi="Segoe UI" w:cs="Segoe UI"/>
          <w:color w:val="212529"/>
          <w:sz w:val="24"/>
          <w:szCs w:val="24"/>
        </w:rPr>
        <w:t>od</w:t>
      </w:r>
      <w:proofErr w:type="gramEnd"/>
      <w:r w:rsidRPr="00D671FF">
        <w:rPr>
          <w:rFonts w:ascii="Segoe UI" w:eastAsia="Times New Roman" w:hAnsi="Segoe UI" w:cs="Segoe UI"/>
          <w:color w:val="212529"/>
          <w:sz w:val="24"/>
          <w:szCs w:val="24"/>
        </w:rPr>
        <w:t xml:space="preserve"> finansijskog lizinga, operativni lizing nije uređen posebnim zakonom, pa se na ovu vrstu privrednih ugovora primenjuju odredbe čl. 567. </w:t>
      </w:r>
      <w:proofErr w:type="gramStart"/>
      <w:r w:rsidRPr="00D671FF">
        <w:rPr>
          <w:rFonts w:ascii="Segoe UI" w:eastAsia="Times New Roman" w:hAnsi="Segoe UI" w:cs="Segoe UI"/>
          <w:color w:val="212529"/>
          <w:sz w:val="24"/>
          <w:szCs w:val="24"/>
        </w:rPr>
        <w:t>do</w:t>
      </w:r>
      <w:proofErr w:type="gramEnd"/>
      <w:r w:rsidRPr="00D671FF">
        <w:rPr>
          <w:rFonts w:ascii="Segoe UI" w:eastAsia="Times New Roman" w:hAnsi="Segoe UI" w:cs="Segoe UI"/>
          <w:color w:val="212529"/>
          <w:sz w:val="24"/>
          <w:szCs w:val="24"/>
        </w:rPr>
        <w:t xml:space="preserve"> 599. </w:t>
      </w:r>
      <w:proofErr w:type="gramStart"/>
      <w:r w:rsidRPr="00D671FF">
        <w:rPr>
          <w:rFonts w:ascii="Segoe UI" w:eastAsia="Times New Roman" w:hAnsi="Segoe UI" w:cs="Segoe UI"/>
          <w:color w:val="212529"/>
          <w:sz w:val="24"/>
          <w:szCs w:val="24"/>
        </w:rPr>
        <w:t>Zakona o obligacionim odnosima, kojim je uređen ugovor o zakupu, koji u suštini predstavlja posao operativnog lizinga kako ga definiše Odeljak 20 MSFI za MSP.</w:t>
      </w:r>
      <w:proofErr w:type="gramEnd"/>
    </w:p>
    <w:p w:rsidR="00D671FF" w:rsidRPr="00D671FF" w:rsidRDefault="00D671FF" w:rsidP="00D671FF">
      <w:pPr>
        <w:shd w:val="clear" w:color="auto" w:fill="FFFFFF"/>
        <w:spacing w:after="0" w:line="240" w:lineRule="auto"/>
        <w:rPr>
          <w:rFonts w:ascii="Segoe UI" w:eastAsia="Times New Roman" w:hAnsi="Segoe UI" w:cs="Segoe UI"/>
          <w:color w:val="212529"/>
          <w:sz w:val="24"/>
          <w:szCs w:val="24"/>
        </w:rPr>
      </w:pPr>
      <w:r w:rsidRPr="00D671FF">
        <w:rPr>
          <w:rFonts w:ascii="Segoe UI" w:eastAsia="Times New Roman" w:hAnsi="Segoe UI" w:cs="Segoe UI"/>
          <w:color w:val="212529"/>
          <w:sz w:val="24"/>
          <w:szCs w:val="24"/>
        </w:rPr>
        <w:br/>
      </w:r>
      <w:r w:rsidRPr="00D671FF">
        <w:rPr>
          <w:rFonts w:ascii="Segoe UI" w:eastAsia="Times New Roman" w:hAnsi="Segoe UI" w:cs="Segoe UI"/>
          <w:color w:val="212529"/>
          <w:sz w:val="24"/>
          <w:szCs w:val="24"/>
        </w:rPr>
        <w:br/>
      </w:r>
    </w:p>
    <w:p w:rsidR="00D671FF" w:rsidRPr="00D671FF" w:rsidRDefault="00D671FF" w:rsidP="00D671FF">
      <w:pPr>
        <w:shd w:val="clear" w:color="auto" w:fill="FFFFFF"/>
        <w:spacing w:after="0" w:line="240" w:lineRule="auto"/>
        <w:rPr>
          <w:rFonts w:ascii="Segoe UI" w:eastAsia="Times New Roman" w:hAnsi="Segoe UI" w:cs="Segoe UI"/>
          <w:color w:val="212529"/>
          <w:sz w:val="24"/>
          <w:szCs w:val="24"/>
        </w:rPr>
      </w:pPr>
      <w:r w:rsidRPr="00D671FF">
        <w:rPr>
          <w:rFonts w:ascii="Segoe UI" w:eastAsia="Times New Roman" w:hAnsi="Segoe UI" w:cs="Segoe UI"/>
          <w:color w:val="212529"/>
          <w:sz w:val="24"/>
          <w:szCs w:val="24"/>
        </w:rPr>
        <w:pict>
          <v:rect id="_x0000_i1028" style="width:0;height:0" o:hralign="center" o:hrstd="t" o:hr="t" fillcolor="#a0a0a0" stroked="f"/>
        </w:pict>
      </w:r>
    </w:p>
    <w:p w:rsidR="00D671FF" w:rsidRPr="00D671FF" w:rsidRDefault="00D671FF" w:rsidP="00D671FF">
      <w:pPr>
        <w:shd w:val="clear" w:color="auto" w:fill="FFFFFF"/>
        <w:spacing w:before="525" w:after="525" w:line="240" w:lineRule="auto"/>
        <w:rPr>
          <w:rFonts w:ascii="Segoe UI" w:eastAsia="Times New Roman" w:hAnsi="Segoe UI" w:cs="Segoe UI"/>
          <w:color w:val="212529"/>
          <w:sz w:val="24"/>
          <w:szCs w:val="24"/>
        </w:rPr>
      </w:pPr>
      <w:r w:rsidRPr="00D671FF">
        <w:rPr>
          <w:rFonts w:ascii="Segoe UI" w:eastAsia="Times New Roman" w:hAnsi="Segoe UI" w:cs="Segoe UI"/>
          <w:color w:val="212529"/>
          <w:sz w:val="24"/>
          <w:szCs w:val="24"/>
        </w:rPr>
        <w:t xml:space="preserve">U cilju jasnog razlikovanja prometa dobara koji se vrši kao posao finansijskog lizinga, </w:t>
      </w:r>
      <w:proofErr w:type="gramStart"/>
      <w:r w:rsidRPr="00D671FF">
        <w:rPr>
          <w:rFonts w:ascii="Segoe UI" w:eastAsia="Times New Roman" w:hAnsi="Segoe UI" w:cs="Segoe UI"/>
          <w:color w:val="212529"/>
          <w:sz w:val="24"/>
          <w:szCs w:val="24"/>
        </w:rPr>
        <w:t>od</w:t>
      </w:r>
      <w:proofErr w:type="gramEnd"/>
      <w:r w:rsidRPr="00D671FF">
        <w:rPr>
          <w:rFonts w:ascii="Segoe UI" w:eastAsia="Times New Roman" w:hAnsi="Segoe UI" w:cs="Segoe UI"/>
          <w:color w:val="212529"/>
          <w:sz w:val="24"/>
          <w:szCs w:val="24"/>
        </w:rPr>
        <w:t xml:space="preserve"> prometa usluga operativnog lizinga (zakupa) propisana je tačka 2a) stav 3. </w:t>
      </w:r>
      <w:proofErr w:type="gramStart"/>
      <w:r w:rsidRPr="00D671FF">
        <w:rPr>
          <w:rFonts w:ascii="Segoe UI" w:eastAsia="Times New Roman" w:hAnsi="Segoe UI" w:cs="Segoe UI"/>
          <w:color w:val="212529"/>
          <w:sz w:val="24"/>
          <w:szCs w:val="24"/>
        </w:rPr>
        <w:t>člana</w:t>
      </w:r>
      <w:proofErr w:type="gramEnd"/>
      <w:r w:rsidRPr="00D671FF">
        <w:rPr>
          <w:rFonts w:ascii="Segoe UI" w:eastAsia="Times New Roman" w:hAnsi="Segoe UI" w:cs="Segoe UI"/>
          <w:color w:val="212529"/>
          <w:sz w:val="24"/>
          <w:szCs w:val="24"/>
        </w:rPr>
        <w:t xml:space="preserve"> 4. Zakona o PDV kojom je propisano da se prometom dobara u smislu ovog zakona, smatra i predaja dobara </w:t>
      </w:r>
      <w:proofErr w:type="gramStart"/>
      <w:r w:rsidRPr="00D671FF">
        <w:rPr>
          <w:rFonts w:ascii="Segoe UI" w:eastAsia="Times New Roman" w:hAnsi="Segoe UI" w:cs="Segoe UI"/>
          <w:color w:val="212529"/>
          <w:sz w:val="24"/>
          <w:szCs w:val="24"/>
        </w:rPr>
        <w:t>na</w:t>
      </w:r>
      <w:proofErr w:type="gramEnd"/>
      <w:r w:rsidRPr="00D671FF">
        <w:rPr>
          <w:rFonts w:ascii="Segoe UI" w:eastAsia="Times New Roman" w:hAnsi="Segoe UI" w:cs="Segoe UI"/>
          <w:color w:val="212529"/>
          <w:sz w:val="24"/>
          <w:szCs w:val="24"/>
        </w:rPr>
        <w:t xml:space="preserve"> osnovu ugovora o lizingu, odnosno zakupu, zaključenog na određeni period, za pokretne ili nepokretne stvari, kada nijedna od ugovornih strana ne može raskinuti ugovor ako se strane pridržavaju ugovorenih obaveza.</w:t>
      </w:r>
    </w:p>
    <w:p w:rsidR="00D671FF" w:rsidRPr="00D671FF" w:rsidRDefault="00D671FF" w:rsidP="00D671FF">
      <w:pPr>
        <w:shd w:val="clear" w:color="auto" w:fill="FFFFFF"/>
        <w:spacing w:before="525" w:after="525" w:line="240" w:lineRule="auto"/>
        <w:rPr>
          <w:rFonts w:ascii="Segoe UI" w:eastAsia="Times New Roman" w:hAnsi="Segoe UI" w:cs="Segoe UI"/>
          <w:color w:val="212529"/>
          <w:sz w:val="24"/>
          <w:szCs w:val="24"/>
        </w:rPr>
      </w:pPr>
      <w:r w:rsidRPr="00D671FF">
        <w:rPr>
          <w:rFonts w:ascii="Segoe UI" w:eastAsia="Times New Roman" w:hAnsi="Segoe UI" w:cs="Segoe UI"/>
          <w:color w:val="212529"/>
          <w:sz w:val="24"/>
          <w:szCs w:val="24"/>
        </w:rPr>
        <w:t xml:space="preserve">Bliži kriterijumi </w:t>
      </w:r>
      <w:proofErr w:type="gramStart"/>
      <w:r w:rsidRPr="00D671FF">
        <w:rPr>
          <w:rFonts w:ascii="Segoe UI" w:eastAsia="Times New Roman" w:hAnsi="Segoe UI" w:cs="Segoe UI"/>
          <w:color w:val="212529"/>
          <w:sz w:val="24"/>
          <w:szCs w:val="24"/>
        </w:rPr>
        <w:t>na</w:t>
      </w:r>
      <w:proofErr w:type="gramEnd"/>
      <w:r w:rsidRPr="00D671FF">
        <w:rPr>
          <w:rFonts w:ascii="Segoe UI" w:eastAsia="Times New Roman" w:hAnsi="Segoe UI" w:cs="Segoe UI"/>
          <w:color w:val="212529"/>
          <w:sz w:val="24"/>
          <w:szCs w:val="24"/>
        </w:rPr>
        <w:t xml:space="preserve"> osnovu kojih se određuje kada se predaja dobara na osnovu ugovora o lizingu, odnosno zakupu smatra prometom dobara u smislu Zakona o PDV, propisani su </w:t>
      </w:r>
      <w:r w:rsidRPr="00D671FF">
        <w:rPr>
          <w:rFonts w:ascii="Segoe UI" w:eastAsia="Times New Roman" w:hAnsi="Segoe UI" w:cs="Segoe UI"/>
          <w:b/>
          <w:bCs/>
          <w:i/>
          <w:iCs/>
          <w:color w:val="212529"/>
          <w:sz w:val="24"/>
          <w:szCs w:val="24"/>
        </w:rPr>
        <w:t>Pravilnikomo porezu na dodatu vrednost ("Sl. glasnik RS", br. 37/2021</w:t>
      </w:r>
      <w:r w:rsidRPr="00D671FF">
        <w:rPr>
          <w:rFonts w:ascii="Segoe UI" w:eastAsia="Times New Roman" w:hAnsi="Segoe UI" w:cs="Segoe UI"/>
          <w:color w:val="212529"/>
          <w:sz w:val="24"/>
          <w:szCs w:val="24"/>
        </w:rPr>
        <w:t xml:space="preserve"> - dalje: Pravilnik o PDV). </w:t>
      </w:r>
      <w:proofErr w:type="gramStart"/>
      <w:r w:rsidRPr="00D671FF">
        <w:rPr>
          <w:rFonts w:ascii="Segoe UI" w:eastAsia="Times New Roman" w:hAnsi="Segoe UI" w:cs="Segoe UI"/>
          <w:color w:val="212529"/>
          <w:sz w:val="24"/>
          <w:szCs w:val="24"/>
        </w:rPr>
        <w:t>Članom 2.</w:t>
      </w:r>
      <w:proofErr w:type="gramEnd"/>
      <w:r w:rsidRPr="00D671FF">
        <w:rPr>
          <w:rFonts w:ascii="Segoe UI" w:eastAsia="Times New Roman" w:hAnsi="Segoe UI" w:cs="Segoe UI"/>
          <w:color w:val="212529"/>
          <w:sz w:val="24"/>
          <w:szCs w:val="24"/>
        </w:rPr>
        <w:t xml:space="preserve"> </w:t>
      </w:r>
      <w:proofErr w:type="gramStart"/>
      <w:r w:rsidRPr="00D671FF">
        <w:rPr>
          <w:rFonts w:ascii="Segoe UI" w:eastAsia="Times New Roman" w:hAnsi="Segoe UI" w:cs="Segoe UI"/>
          <w:color w:val="212529"/>
          <w:sz w:val="24"/>
          <w:szCs w:val="24"/>
        </w:rPr>
        <w:t>ovog</w:t>
      </w:r>
      <w:proofErr w:type="gramEnd"/>
      <w:r w:rsidRPr="00D671FF">
        <w:rPr>
          <w:rFonts w:ascii="Segoe UI" w:eastAsia="Times New Roman" w:hAnsi="Segoe UI" w:cs="Segoe UI"/>
          <w:color w:val="212529"/>
          <w:sz w:val="24"/>
          <w:szCs w:val="24"/>
        </w:rPr>
        <w:t xml:space="preserve"> pravilnika propisano je da se prometom dobara iz člana 4. </w:t>
      </w:r>
      <w:proofErr w:type="gramStart"/>
      <w:r w:rsidRPr="00D671FF">
        <w:rPr>
          <w:rFonts w:ascii="Segoe UI" w:eastAsia="Times New Roman" w:hAnsi="Segoe UI" w:cs="Segoe UI"/>
          <w:color w:val="212529"/>
          <w:sz w:val="24"/>
          <w:szCs w:val="24"/>
        </w:rPr>
        <w:t>stav</w:t>
      </w:r>
      <w:proofErr w:type="gramEnd"/>
      <w:r w:rsidRPr="00D671FF">
        <w:rPr>
          <w:rFonts w:ascii="Segoe UI" w:eastAsia="Times New Roman" w:hAnsi="Segoe UI" w:cs="Segoe UI"/>
          <w:color w:val="212529"/>
          <w:sz w:val="24"/>
          <w:szCs w:val="24"/>
        </w:rPr>
        <w:t xml:space="preserve"> 3. </w:t>
      </w:r>
      <w:proofErr w:type="gramStart"/>
      <w:r w:rsidRPr="00D671FF">
        <w:rPr>
          <w:rFonts w:ascii="Segoe UI" w:eastAsia="Times New Roman" w:hAnsi="Segoe UI" w:cs="Segoe UI"/>
          <w:color w:val="212529"/>
          <w:sz w:val="24"/>
          <w:szCs w:val="24"/>
        </w:rPr>
        <w:t>tačka</w:t>
      </w:r>
      <w:proofErr w:type="gramEnd"/>
      <w:r w:rsidRPr="00D671FF">
        <w:rPr>
          <w:rFonts w:ascii="Segoe UI" w:eastAsia="Times New Roman" w:hAnsi="Segoe UI" w:cs="Segoe UI"/>
          <w:color w:val="212529"/>
          <w:sz w:val="24"/>
          <w:szCs w:val="24"/>
        </w:rPr>
        <w:t xml:space="preserve"> 2a) Zakona o PDV, smatra predaja dobra koja se vrši na osnovu ugovora koji se, u smislu ovog pravilnika, smatra ugovorom o lizingu. Nepokretnim stvarima smatraju se zemljište (što je novina u odnosu </w:t>
      </w:r>
      <w:proofErr w:type="gramStart"/>
      <w:r w:rsidRPr="00D671FF">
        <w:rPr>
          <w:rFonts w:ascii="Segoe UI" w:eastAsia="Times New Roman" w:hAnsi="Segoe UI" w:cs="Segoe UI"/>
          <w:color w:val="212529"/>
          <w:sz w:val="24"/>
          <w:szCs w:val="24"/>
        </w:rPr>
        <w:t>na</w:t>
      </w:r>
      <w:proofErr w:type="gramEnd"/>
      <w:r w:rsidRPr="00D671FF">
        <w:rPr>
          <w:rFonts w:ascii="Segoe UI" w:eastAsia="Times New Roman" w:hAnsi="Segoe UI" w:cs="Segoe UI"/>
          <w:color w:val="212529"/>
          <w:sz w:val="24"/>
          <w:szCs w:val="24"/>
        </w:rPr>
        <w:t xml:space="preserve"> prethodnu regulativu PDV), objekti i ekonomski deljive celine u okviru objekata.</w:t>
      </w:r>
    </w:p>
    <w:p w:rsidR="00D671FF" w:rsidRPr="00D671FF" w:rsidRDefault="00D671FF" w:rsidP="00D671FF">
      <w:pPr>
        <w:shd w:val="clear" w:color="auto" w:fill="FFFFFF"/>
        <w:spacing w:before="525" w:after="525" w:line="240" w:lineRule="auto"/>
        <w:rPr>
          <w:rFonts w:ascii="Segoe UI" w:eastAsia="Times New Roman" w:hAnsi="Segoe UI" w:cs="Segoe UI"/>
          <w:color w:val="212529"/>
          <w:sz w:val="24"/>
          <w:szCs w:val="24"/>
        </w:rPr>
      </w:pPr>
      <w:proofErr w:type="gramStart"/>
      <w:r w:rsidRPr="00D671FF">
        <w:rPr>
          <w:rFonts w:ascii="Segoe UI" w:eastAsia="Times New Roman" w:hAnsi="Segoe UI" w:cs="Segoe UI"/>
          <w:color w:val="212529"/>
          <w:sz w:val="24"/>
          <w:szCs w:val="24"/>
        </w:rPr>
        <w:t>Prema članu 3.</w:t>
      </w:r>
      <w:proofErr w:type="gramEnd"/>
      <w:r w:rsidRPr="00D671FF">
        <w:rPr>
          <w:rFonts w:ascii="Segoe UI" w:eastAsia="Times New Roman" w:hAnsi="Segoe UI" w:cs="Segoe UI"/>
          <w:color w:val="212529"/>
          <w:sz w:val="24"/>
          <w:szCs w:val="24"/>
        </w:rPr>
        <w:t xml:space="preserve"> Pravilnika o PDV, ugovorom o lizingu kojim se definiše promet dobara koji podleže PDV, smatraju se sledeće tri vrste ugovora:</w:t>
      </w:r>
    </w:p>
    <w:p w:rsidR="00D671FF" w:rsidRPr="00D671FF" w:rsidRDefault="00D671FF" w:rsidP="00D671FF">
      <w:pPr>
        <w:numPr>
          <w:ilvl w:val="0"/>
          <w:numId w:val="4"/>
        </w:numPr>
        <w:shd w:val="clear" w:color="auto" w:fill="FFFFFF"/>
        <w:spacing w:after="0" w:line="240" w:lineRule="auto"/>
        <w:ind w:left="450"/>
        <w:rPr>
          <w:rFonts w:ascii="Segoe UI" w:eastAsia="Times New Roman" w:hAnsi="Segoe UI" w:cs="Segoe UI"/>
          <w:color w:val="003366"/>
          <w:sz w:val="26"/>
          <w:szCs w:val="26"/>
        </w:rPr>
      </w:pPr>
      <w:r w:rsidRPr="00D671FF">
        <w:rPr>
          <w:rFonts w:ascii="Segoe UI" w:eastAsia="Times New Roman" w:hAnsi="Segoe UI" w:cs="Segoe UI"/>
          <w:b/>
          <w:bCs/>
          <w:color w:val="003366"/>
          <w:sz w:val="26"/>
        </w:rPr>
        <w:t>ugovor o lizingu pokretnih, odnosno nepokretnih stvari kojim je ugovorena potpuna isplata;</w:t>
      </w:r>
    </w:p>
    <w:p w:rsidR="00D671FF" w:rsidRPr="00D671FF" w:rsidRDefault="00D671FF" w:rsidP="00D671FF">
      <w:pPr>
        <w:numPr>
          <w:ilvl w:val="0"/>
          <w:numId w:val="4"/>
        </w:numPr>
        <w:shd w:val="clear" w:color="auto" w:fill="FFFFFF"/>
        <w:spacing w:after="0" w:line="240" w:lineRule="auto"/>
        <w:ind w:left="450"/>
        <w:rPr>
          <w:rFonts w:ascii="Segoe UI" w:eastAsia="Times New Roman" w:hAnsi="Segoe UI" w:cs="Segoe UI"/>
          <w:color w:val="003366"/>
          <w:sz w:val="26"/>
          <w:szCs w:val="26"/>
        </w:rPr>
      </w:pPr>
      <w:r w:rsidRPr="00D671FF">
        <w:rPr>
          <w:rFonts w:ascii="Segoe UI" w:eastAsia="Times New Roman" w:hAnsi="Segoe UI" w:cs="Segoe UI"/>
          <w:b/>
          <w:bCs/>
          <w:color w:val="003366"/>
          <w:sz w:val="26"/>
        </w:rPr>
        <w:t>ugovor o lizingu pokretnih stvari kojim je ugovorena delimična isplata; i</w:t>
      </w:r>
    </w:p>
    <w:p w:rsidR="00D671FF" w:rsidRPr="00D671FF" w:rsidRDefault="00D671FF" w:rsidP="00D671FF">
      <w:pPr>
        <w:numPr>
          <w:ilvl w:val="0"/>
          <w:numId w:val="4"/>
        </w:numPr>
        <w:shd w:val="clear" w:color="auto" w:fill="FFFFFF"/>
        <w:spacing w:after="0" w:line="240" w:lineRule="auto"/>
        <w:ind w:left="450"/>
        <w:rPr>
          <w:rFonts w:ascii="Segoe UI" w:eastAsia="Times New Roman" w:hAnsi="Segoe UI" w:cs="Segoe UI"/>
          <w:color w:val="003366"/>
          <w:sz w:val="26"/>
          <w:szCs w:val="26"/>
        </w:rPr>
      </w:pPr>
      <w:proofErr w:type="gramStart"/>
      <w:r w:rsidRPr="00D671FF">
        <w:rPr>
          <w:rFonts w:ascii="Segoe UI" w:eastAsia="Times New Roman" w:hAnsi="Segoe UI" w:cs="Segoe UI"/>
          <w:b/>
          <w:bCs/>
          <w:color w:val="003366"/>
          <w:sz w:val="26"/>
        </w:rPr>
        <w:t>ugovor</w:t>
      </w:r>
      <w:proofErr w:type="gramEnd"/>
      <w:r w:rsidRPr="00D671FF">
        <w:rPr>
          <w:rFonts w:ascii="Segoe UI" w:eastAsia="Times New Roman" w:hAnsi="Segoe UI" w:cs="Segoe UI"/>
          <w:b/>
          <w:bCs/>
          <w:color w:val="003366"/>
          <w:sz w:val="26"/>
        </w:rPr>
        <w:t xml:space="preserve"> o lizingu nepokretnih stvari - objekata i ekonomski deljivih celina u okviru objekata kojim je ugovorena delimična isplata.</w:t>
      </w:r>
    </w:p>
    <w:p w:rsidR="00D671FF" w:rsidRPr="00D671FF" w:rsidRDefault="00D671FF" w:rsidP="00D671FF">
      <w:pPr>
        <w:shd w:val="clear" w:color="auto" w:fill="FFFFFF"/>
        <w:spacing w:before="525" w:after="525" w:line="240" w:lineRule="auto"/>
        <w:rPr>
          <w:rFonts w:ascii="Segoe UI" w:eastAsia="Times New Roman" w:hAnsi="Segoe UI" w:cs="Segoe UI"/>
          <w:color w:val="212529"/>
          <w:sz w:val="24"/>
          <w:szCs w:val="24"/>
        </w:rPr>
      </w:pPr>
      <w:r w:rsidRPr="00D671FF">
        <w:rPr>
          <w:rFonts w:ascii="Segoe UI" w:eastAsia="Times New Roman" w:hAnsi="Segoe UI" w:cs="Segoe UI"/>
          <w:color w:val="212529"/>
          <w:sz w:val="24"/>
          <w:szCs w:val="24"/>
        </w:rPr>
        <w:t>Ključno pitanje koje opredeljuje da li se radi o prometu dobara ili o prometu usluga kod predaje dobara na osnovu ugovora o lizingu, odnosno zakupu, zaključenog na određeni period, je pitanje da li ugovorne strane mogu ili ne mogu raskinuti ugovor ili odustati od daljeg izvršenja ugovora, ako se strane pridržavaju ugovornih obaveza. Shodno navedenom:</w:t>
      </w:r>
    </w:p>
    <w:p w:rsidR="00D671FF" w:rsidRPr="00D671FF" w:rsidRDefault="00D671FF" w:rsidP="00D671FF">
      <w:pPr>
        <w:shd w:val="clear" w:color="auto" w:fill="FFFFFF"/>
        <w:spacing w:before="525" w:after="525" w:line="240" w:lineRule="auto"/>
        <w:rPr>
          <w:rFonts w:ascii="Segoe UI" w:eastAsia="Times New Roman" w:hAnsi="Segoe UI" w:cs="Segoe UI"/>
          <w:color w:val="212529"/>
          <w:sz w:val="24"/>
          <w:szCs w:val="24"/>
        </w:rPr>
      </w:pPr>
      <w:r w:rsidRPr="00D671FF">
        <w:rPr>
          <w:rFonts w:ascii="Segoe UI" w:eastAsia="Times New Roman" w:hAnsi="Segoe UI" w:cs="Segoe UI"/>
          <w:color w:val="212529"/>
          <w:sz w:val="24"/>
          <w:szCs w:val="24"/>
        </w:rPr>
        <w:t>a) prometom dobara koji se oporezuje u skladu sa Zakonom o PDV, smatra se predaja dobara po osnovu ugovora o lizingu, odnosno zakupu, zaključenog na određeni period, za pokretne ili nepokretne stvari, kada nijedna od ugovorenih strana ne može raskinuti ugovor ili odustati od daljeg izvršenja ugovora ako se strane pridržavaju ugovornih obaveza;</w:t>
      </w:r>
    </w:p>
    <w:p w:rsidR="00D671FF" w:rsidRPr="00D671FF" w:rsidRDefault="00D671FF" w:rsidP="00D671FF">
      <w:pPr>
        <w:shd w:val="clear" w:color="auto" w:fill="FFFFFF"/>
        <w:spacing w:before="525" w:after="525" w:line="240" w:lineRule="auto"/>
        <w:rPr>
          <w:rFonts w:ascii="Segoe UI" w:eastAsia="Times New Roman" w:hAnsi="Segoe UI" w:cs="Segoe UI"/>
          <w:color w:val="212529"/>
          <w:sz w:val="24"/>
          <w:szCs w:val="24"/>
        </w:rPr>
      </w:pPr>
      <w:r w:rsidRPr="00D671FF">
        <w:rPr>
          <w:rFonts w:ascii="Segoe UI" w:eastAsia="Times New Roman" w:hAnsi="Segoe UI" w:cs="Segoe UI"/>
          <w:color w:val="212529"/>
          <w:sz w:val="24"/>
          <w:szCs w:val="24"/>
        </w:rPr>
        <w:t xml:space="preserve">b) </w:t>
      </w:r>
      <w:proofErr w:type="gramStart"/>
      <w:r w:rsidRPr="00D671FF">
        <w:rPr>
          <w:rFonts w:ascii="Segoe UI" w:eastAsia="Times New Roman" w:hAnsi="Segoe UI" w:cs="Segoe UI"/>
          <w:color w:val="212529"/>
          <w:sz w:val="24"/>
          <w:szCs w:val="24"/>
        </w:rPr>
        <w:t>prometom</w:t>
      </w:r>
      <w:proofErr w:type="gramEnd"/>
      <w:r w:rsidRPr="00D671FF">
        <w:rPr>
          <w:rFonts w:ascii="Segoe UI" w:eastAsia="Times New Roman" w:hAnsi="Segoe UI" w:cs="Segoe UI"/>
          <w:color w:val="212529"/>
          <w:sz w:val="24"/>
          <w:szCs w:val="24"/>
        </w:rPr>
        <w:t xml:space="preserve"> usluga koji se oporezuje u skladu sa Zakonom o PDV, smatra se predaja dobara po osnovu ugovora o lizingu, odnosno zakupu, kojim je predviđena mogućnost jednostranog raskida ugovora i u slučaju pridržavanja ugovornih obaveza.</w:t>
      </w:r>
    </w:p>
    <w:p w:rsidR="00D671FF" w:rsidRPr="00D671FF" w:rsidRDefault="00D671FF" w:rsidP="00D671FF">
      <w:pPr>
        <w:shd w:val="clear" w:color="auto" w:fill="FFFFFF"/>
        <w:spacing w:before="525" w:after="525" w:line="240" w:lineRule="auto"/>
        <w:rPr>
          <w:rFonts w:ascii="Segoe UI" w:eastAsia="Times New Roman" w:hAnsi="Segoe UI" w:cs="Segoe UI"/>
          <w:color w:val="212529"/>
          <w:sz w:val="24"/>
          <w:szCs w:val="24"/>
        </w:rPr>
      </w:pPr>
      <w:r w:rsidRPr="00D671FF">
        <w:rPr>
          <w:rFonts w:ascii="Segoe UI" w:eastAsia="Times New Roman" w:hAnsi="Segoe UI" w:cs="Segoe UI"/>
          <w:color w:val="212529"/>
          <w:sz w:val="24"/>
          <w:szCs w:val="24"/>
        </w:rPr>
        <w:t xml:space="preserve">Pravilnikom o PDV su detaljnije uređeni kriterijumi za razlikovanje prometa dobara </w:t>
      </w:r>
      <w:proofErr w:type="gramStart"/>
      <w:r w:rsidRPr="00D671FF">
        <w:rPr>
          <w:rFonts w:ascii="Segoe UI" w:eastAsia="Times New Roman" w:hAnsi="Segoe UI" w:cs="Segoe UI"/>
          <w:color w:val="212529"/>
          <w:sz w:val="24"/>
          <w:szCs w:val="24"/>
        </w:rPr>
        <w:t>od</w:t>
      </w:r>
      <w:proofErr w:type="gramEnd"/>
      <w:r w:rsidRPr="00D671FF">
        <w:rPr>
          <w:rFonts w:ascii="Segoe UI" w:eastAsia="Times New Roman" w:hAnsi="Segoe UI" w:cs="Segoe UI"/>
          <w:color w:val="212529"/>
          <w:sz w:val="24"/>
          <w:szCs w:val="24"/>
        </w:rPr>
        <w:t xml:space="preserve"> prometa usluga kod predaje dobara na osnovu ugovora o lizingu, odnosno zakupu, zaključenog na određeni period.</w:t>
      </w:r>
    </w:p>
    <w:p w:rsidR="00D671FF" w:rsidRPr="00D671FF" w:rsidRDefault="00D671FF" w:rsidP="00D671FF">
      <w:pPr>
        <w:shd w:val="clear" w:color="auto" w:fill="D6D8D9"/>
        <w:spacing w:before="150" w:after="150" w:line="240" w:lineRule="auto"/>
        <w:rPr>
          <w:rFonts w:ascii="Segoe UI" w:eastAsia="Times New Roman" w:hAnsi="Segoe UI" w:cs="Segoe UI"/>
          <w:color w:val="1B1E21"/>
          <w:sz w:val="24"/>
          <w:szCs w:val="24"/>
        </w:rPr>
      </w:pPr>
      <w:r w:rsidRPr="00D671FF">
        <w:rPr>
          <w:rFonts w:ascii="Segoe UI" w:eastAsia="Times New Roman" w:hAnsi="Segoe UI" w:cs="Segoe UI"/>
          <w:b/>
          <w:bCs/>
          <w:i/>
          <w:iCs/>
          <w:color w:val="1B1E21"/>
          <w:sz w:val="24"/>
          <w:szCs w:val="24"/>
        </w:rPr>
        <w:t xml:space="preserve">Iz Mišljenja Ministarstva finansija, br. 011-00-00008/2013-04 </w:t>
      </w:r>
      <w:proofErr w:type="gramStart"/>
      <w:r w:rsidRPr="00D671FF">
        <w:rPr>
          <w:rFonts w:ascii="Segoe UI" w:eastAsia="Times New Roman" w:hAnsi="Segoe UI" w:cs="Segoe UI"/>
          <w:b/>
          <w:bCs/>
          <w:i/>
          <w:iCs/>
          <w:color w:val="1B1E21"/>
          <w:sz w:val="24"/>
          <w:szCs w:val="24"/>
        </w:rPr>
        <w:t>od</w:t>
      </w:r>
      <w:proofErr w:type="gramEnd"/>
      <w:r w:rsidRPr="00D671FF">
        <w:rPr>
          <w:rFonts w:ascii="Segoe UI" w:eastAsia="Times New Roman" w:hAnsi="Segoe UI" w:cs="Segoe UI"/>
          <w:b/>
          <w:bCs/>
          <w:i/>
          <w:iCs/>
          <w:color w:val="1B1E21"/>
          <w:sz w:val="24"/>
          <w:szCs w:val="24"/>
        </w:rPr>
        <w:t xml:space="preserve"> 25.10.2013. </w:t>
      </w:r>
      <w:proofErr w:type="gramStart"/>
      <w:r w:rsidRPr="00D671FF">
        <w:rPr>
          <w:rFonts w:ascii="Segoe UI" w:eastAsia="Times New Roman" w:hAnsi="Segoe UI" w:cs="Segoe UI"/>
          <w:b/>
          <w:bCs/>
          <w:i/>
          <w:iCs/>
          <w:color w:val="1B1E21"/>
          <w:sz w:val="24"/>
          <w:szCs w:val="24"/>
        </w:rPr>
        <w:t>godine</w:t>
      </w:r>
      <w:proofErr w:type="gramEnd"/>
      <w:r w:rsidRPr="00D671FF">
        <w:rPr>
          <w:rFonts w:ascii="Segoe UI" w:eastAsia="Times New Roman" w:hAnsi="Segoe UI" w:cs="Segoe UI"/>
          <w:b/>
          <w:bCs/>
          <w:i/>
          <w:iCs/>
          <w:color w:val="1B1E21"/>
          <w:sz w:val="24"/>
          <w:szCs w:val="24"/>
        </w:rPr>
        <w:t>:</w:t>
      </w:r>
    </w:p>
    <w:p w:rsidR="00D671FF" w:rsidRPr="00D671FF" w:rsidRDefault="00D671FF" w:rsidP="00D671FF">
      <w:pPr>
        <w:shd w:val="clear" w:color="auto" w:fill="D6D8D9"/>
        <w:spacing w:before="150" w:after="150" w:line="240" w:lineRule="auto"/>
        <w:rPr>
          <w:rFonts w:ascii="Segoe UI" w:eastAsia="Times New Roman" w:hAnsi="Segoe UI" w:cs="Segoe UI"/>
          <w:color w:val="1B1E21"/>
          <w:sz w:val="24"/>
          <w:szCs w:val="24"/>
        </w:rPr>
      </w:pPr>
      <w:r w:rsidRPr="00D671FF">
        <w:rPr>
          <w:rFonts w:ascii="Segoe UI" w:eastAsia="Times New Roman" w:hAnsi="Segoe UI" w:cs="Segoe UI"/>
          <w:color w:val="1B1E21"/>
          <w:sz w:val="24"/>
          <w:szCs w:val="24"/>
        </w:rPr>
        <w:t>"Predaja dobara na osnovu ugovora o lizingu, odnosno zakupu, zaključenog na određeni period, za pokretne ili nepokretne stvari, kada nijedna od ugovornih strana ne može raskinuti ugovor ili odustati od daljeg izvršenja ugovora ako se strane pridržavaju ugovornih obaveza, smatra se prometom dobara koji se oporezuje u skladu sa Zakonom. Bliži kriterijumi na osnovu kojih se utvrđuje da li se u svakom konkretnom slučaju radi o ugovoru o lizingu, odnosno zakupu na osnovu kojeg se predaja dobara smatra prometom dobara, propisani su Pravilnikom o kriterijumima na osnovu kojih se određuje kada se predaja dobara na osnovu ugovora o lizingu, odnosno zakupu smatra prometom dobara ("Sl. glasnik RS", br. 122/2012 - dalje: Pravilnik).</w:t>
      </w:r>
      <w:r w:rsidRPr="00D671FF">
        <w:rPr>
          <w:rFonts w:ascii="Segoe UI" w:eastAsia="Times New Roman" w:hAnsi="Segoe UI" w:cs="Segoe UI"/>
          <w:color w:val="1B1E21"/>
          <w:sz w:val="24"/>
          <w:szCs w:val="24"/>
        </w:rPr>
        <w:br/>
        <w:t xml:space="preserve">Za izvršeni promet dobara obveznik PDV - davalac lizinga, odnosno zakupodavac dužan je da obračuna PDV </w:t>
      </w:r>
      <w:proofErr w:type="gramStart"/>
      <w:r w:rsidRPr="00D671FF">
        <w:rPr>
          <w:rFonts w:ascii="Segoe UI" w:eastAsia="Times New Roman" w:hAnsi="Segoe UI" w:cs="Segoe UI"/>
          <w:color w:val="1B1E21"/>
          <w:sz w:val="24"/>
          <w:szCs w:val="24"/>
        </w:rPr>
        <w:t>na</w:t>
      </w:r>
      <w:proofErr w:type="gramEnd"/>
      <w:r w:rsidRPr="00D671FF">
        <w:rPr>
          <w:rFonts w:ascii="Segoe UI" w:eastAsia="Times New Roman" w:hAnsi="Segoe UI" w:cs="Segoe UI"/>
          <w:color w:val="1B1E21"/>
          <w:sz w:val="24"/>
          <w:szCs w:val="24"/>
        </w:rPr>
        <w:t xml:space="preserve"> osnovicu koju, u skladu sa odredbama člana 17. Zakona o porezu na dodatu vrednost ("Sl. glasnik RS", br. 84/2004, 86/2004 - </w:t>
      </w:r>
      <w:proofErr w:type="gramStart"/>
      <w:r w:rsidRPr="00D671FF">
        <w:rPr>
          <w:rFonts w:ascii="Segoe UI" w:eastAsia="Times New Roman" w:hAnsi="Segoe UI" w:cs="Segoe UI"/>
          <w:color w:val="1B1E21"/>
          <w:sz w:val="24"/>
          <w:szCs w:val="24"/>
        </w:rPr>
        <w:t>ispr.,</w:t>
      </w:r>
      <w:proofErr w:type="gramEnd"/>
      <w:r w:rsidRPr="00D671FF">
        <w:rPr>
          <w:rFonts w:ascii="Segoe UI" w:eastAsia="Times New Roman" w:hAnsi="Segoe UI" w:cs="Segoe UI"/>
          <w:color w:val="1B1E21"/>
          <w:sz w:val="24"/>
          <w:szCs w:val="24"/>
        </w:rPr>
        <w:t xml:space="preserve"> 61/2005, 61/2007 i 93/2012 - dalje: Zakon), čini ukupan iznos naknade, bez PDV, koju prima ili treba da primi po tom osnovu, u koju se uračunavaju i svi sporedni troškovi koje davalac lizinga, odnosno zakupodavac zaračunava primaocu lizinga, odnosno zakupcu. Obračunati PDV plaća se u skladu </w:t>
      </w:r>
      <w:proofErr w:type="gramStart"/>
      <w:r w:rsidRPr="00D671FF">
        <w:rPr>
          <w:rFonts w:ascii="Segoe UI" w:eastAsia="Times New Roman" w:hAnsi="Segoe UI" w:cs="Segoe UI"/>
          <w:color w:val="1B1E21"/>
          <w:sz w:val="24"/>
          <w:szCs w:val="24"/>
        </w:rPr>
        <w:t>sa</w:t>
      </w:r>
      <w:proofErr w:type="gramEnd"/>
      <w:r w:rsidRPr="00D671FF">
        <w:rPr>
          <w:rFonts w:ascii="Segoe UI" w:eastAsia="Times New Roman" w:hAnsi="Segoe UI" w:cs="Segoe UI"/>
          <w:color w:val="1B1E21"/>
          <w:sz w:val="24"/>
          <w:szCs w:val="24"/>
        </w:rPr>
        <w:t xml:space="preserve"> Zakonom. U ovom slučaju, </w:t>
      </w:r>
      <w:proofErr w:type="gramStart"/>
      <w:r w:rsidRPr="00D671FF">
        <w:rPr>
          <w:rFonts w:ascii="Segoe UI" w:eastAsia="Times New Roman" w:hAnsi="Segoe UI" w:cs="Segoe UI"/>
          <w:color w:val="1B1E21"/>
          <w:sz w:val="24"/>
          <w:szCs w:val="24"/>
        </w:rPr>
        <w:t>na</w:t>
      </w:r>
      <w:proofErr w:type="gramEnd"/>
      <w:r w:rsidRPr="00D671FF">
        <w:rPr>
          <w:rFonts w:ascii="Segoe UI" w:eastAsia="Times New Roman" w:hAnsi="Segoe UI" w:cs="Segoe UI"/>
          <w:color w:val="1B1E21"/>
          <w:sz w:val="24"/>
          <w:szCs w:val="24"/>
        </w:rPr>
        <w:t xml:space="preserve"> iznos periodičnih naknada (lizing rata/periodičnih zakupnina) koje davalac lizinga, odnosno zakupodavac naplaćuje od primaoca lizinga, odnosno zakupca, ne obračunava se PDV.</w:t>
      </w:r>
    </w:p>
    <w:p w:rsidR="00D671FF" w:rsidRPr="00D671FF" w:rsidRDefault="00D671FF" w:rsidP="00D671FF">
      <w:pPr>
        <w:shd w:val="clear" w:color="auto" w:fill="D6D8D9"/>
        <w:spacing w:before="150" w:after="150" w:line="240" w:lineRule="auto"/>
        <w:rPr>
          <w:rFonts w:ascii="Segoe UI" w:eastAsia="Times New Roman" w:hAnsi="Segoe UI" w:cs="Segoe UI"/>
          <w:color w:val="1B1E21"/>
          <w:sz w:val="24"/>
          <w:szCs w:val="24"/>
        </w:rPr>
      </w:pPr>
      <w:r w:rsidRPr="00D671FF">
        <w:rPr>
          <w:rFonts w:ascii="Segoe UI" w:eastAsia="Times New Roman" w:hAnsi="Segoe UI" w:cs="Segoe UI"/>
          <w:color w:val="1B1E21"/>
          <w:sz w:val="24"/>
          <w:szCs w:val="24"/>
        </w:rPr>
        <w:t xml:space="preserve">Međutim, kada se predaja dobara vrši </w:t>
      </w:r>
      <w:proofErr w:type="gramStart"/>
      <w:r w:rsidRPr="00D671FF">
        <w:rPr>
          <w:rFonts w:ascii="Segoe UI" w:eastAsia="Times New Roman" w:hAnsi="Segoe UI" w:cs="Segoe UI"/>
          <w:color w:val="1B1E21"/>
          <w:sz w:val="24"/>
          <w:szCs w:val="24"/>
        </w:rPr>
        <w:t>na</w:t>
      </w:r>
      <w:proofErr w:type="gramEnd"/>
      <w:r w:rsidRPr="00D671FF">
        <w:rPr>
          <w:rFonts w:ascii="Segoe UI" w:eastAsia="Times New Roman" w:hAnsi="Segoe UI" w:cs="Segoe UI"/>
          <w:color w:val="1B1E21"/>
          <w:sz w:val="24"/>
          <w:szCs w:val="24"/>
        </w:rPr>
        <w:t xml:space="preserve"> osnovu ugovora kojim je predviđena mogućnost jednostranog raskida ugovora i u slučaju pridržavanja ugovornih obaveza, reč je o prometu usluga koji se oporezuje u skladu sa Zakonom. Osnovicu za obračunavanje PDV za predmetni promet čini iznos periodične naknade, bez PDV, koju obveznik PDV prima ili treba da primi po tom osnovu, u koju se, takođe, uračunavaju i svi sporedni troškovi koje pružalac usluge zaračunava primaocu.</w:t>
      </w:r>
      <w:r w:rsidRPr="00D671FF">
        <w:rPr>
          <w:rFonts w:ascii="Segoe UI" w:eastAsia="Times New Roman" w:hAnsi="Segoe UI" w:cs="Segoe UI"/>
          <w:color w:val="1B1E21"/>
          <w:sz w:val="24"/>
          <w:szCs w:val="24"/>
        </w:rPr>
        <w:br/>
        <w:t xml:space="preserve">Prema tome, kako se, u konkretnom slučaju, predaja pokretnih stvari vrši na osnovu ugovora kojim je predviđeno da primalac (zakupac) predmetnih dobara može jednostrano raskinuti ugovor uz poštovanje otkaznog roka od šest meseci iako se druga ugovorna strana pridržava ugovorenih obaveza, mišljenja smo da nije reč o predaji dobara koja se smatra prometom dobara, već prometom usluga. Promet predmetnih usluga oporezuje se u skladu </w:t>
      </w:r>
      <w:proofErr w:type="gramStart"/>
      <w:r w:rsidRPr="00D671FF">
        <w:rPr>
          <w:rFonts w:ascii="Segoe UI" w:eastAsia="Times New Roman" w:hAnsi="Segoe UI" w:cs="Segoe UI"/>
          <w:color w:val="1B1E21"/>
          <w:sz w:val="24"/>
          <w:szCs w:val="24"/>
        </w:rPr>
        <w:t>sa</w:t>
      </w:r>
      <w:proofErr w:type="gramEnd"/>
      <w:r w:rsidRPr="00D671FF">
        <w:rPr>
          <w:rFonts w:ascii="Segoe UI" w:eastAsia="Times New Roman" w:hAnsi="Segoe UI" w:cs="Segoe UI"/>
          <w:color w:val="1B1E21"/>
          <w:sz w:val="24"/>
          <w:szCs w:val="24"/>
        </w:rPr>
        <w:t xml:space="preserve"> Zakonom."</w:t>
      </w:r>
    </w:p>
    <w:p w:rsidR="00D671FF" w:rsidRPr="00D671FF" w:rsidRDefault="00D671FF" w:rsidP="00D671FF">
      <w:pPr>
        <w:shd w:val="clear" w:color="auto" w:fill="FFFFFF"/>
        <w:spacing w:before="525" w:after="525" w:line="240" w:lineRule="auto"/>
        <w:rPr>
          <w:rFonts w:ascii="Segoe UI" w:eastAsia="Times New Roman" w:hAnsi="Segoe UI" w:cs="Segoe UI"/>
          <w:color w:val="212529"/>
          <w:sz w:val="24"/>
          <w:szCs w:val="24"/>
        </w:rPr>
      </w:pPr>
      <w:proofErr w:type="gramStart"/>
      <w:r w:rsidRPr="00D671FF">
        <w:rPr>
          <w:rFonts w:ascii="Segoe UI" w:eastAsia="Times New Roman" w:hAnsi="Segoe UI" w:cs="Segoe UI"/>
          <w:color w:val="212529"/>
          <w:sz w:val="24"/>
          <w:szCs w:val="24"/>
        </w:rPr>
        <w:t>Takođe, članom 2.</w:t>
      </w:r>
      <w:proofErr w:type="gramEnd"/>
      <w:r w:rsidRPr="00D671FF">
        <w:rPr>
          <w:rFonts w:ascii="Segoe UI" w:eastAsia="Times New Roman" w:hAnsi="Segoe UI" w:cs="Segoe UI"/>
          <w:color w:val="212529"/>
          <w:sz w:val="24"/>
          <w:szCs w:val="24"/>
        </w:rPr>
        <w:t xml:space="preserve"> </w:t>
      </w:r>
      <w:proofErr w:type="gramStart"/>
      <w:r w:rsidRPr="00D671FF">
        <w:rPr>
          <w:rFonts w:ascii="Segoe UI" w:eastAsia="Times New Roman" w:hAnsi="Segoe UI" w:cs="Segoe UI"/>
          <w:color w:val="212529"/>
          <w:sz w:val="24"/>
          <w:szCs w:val="24"/>
        </w:rPr>
        <w:t>stav</w:t>
      </w:r>
      <w:proofErr w:type="gramEnd"/>
      <w:r w:rsidRPr="00D671FF">
        <w:rPr>
          <w:rFonts w:ascii="Segoe UI" w:eastAsia="Times New Roman" w:hAnsi="Segoe UI" w:cs="Segoe UI"/>
          <w:color w:val="212529"/>
          <w:sz w:val="24"/>
          <w:szCs w:val="24"/>
        </w:rPr>
        <w:t xml:space="preserve"> 1. </w:t>
      </w:r>
      <w:proofErr w:type="gramStart"/>
      <w:r w:rsidRPr="00D671FF">
        <w:rPr>
          <w:rFonts w:ascii="Segoe UI" w:eastAsia="Times New Roman" w:hAnsi="Segoe UI" w:cs="Segoe UI"/>
          <w:color w:val="212529"/>
          <w:sz w:val="24"/>
          <w:szCs w:val="24"/>
        </w:rPr>
        <w:t>tačka</w:t>
      </w:r>
      <w:proofErr w:type="gramEnd"/>
      <w:r w:rsidRPr="00D671FF">
        <w:rPr>
          <w:rFonts w:ascii="Segoe UI" w:eastAsia="Times New Roman" w:hAnsi="Segoe UI" w:cs="Segoe UI"/>
          <w:color w:val="212529"/>
          <w:sz w:val="24"/>
          <w:szCs w:val="24"/>
        </w:rPr>
        <w:t xml:space="preserve"> 8) Zakona o porezima na imovinu, propisano je da se porez na imovinu u smislu ovog zakona, plaća na nepokretnosti koje se nalaze na teritoriji Republike Srbije, i to, pored ostalog na državinu i korišćenje nepokretnosti po osnovu ugovora o finansijskom lizingu. Poreski obveznik u smislu Zakona o porezima </w:t>
      </w:r>
      <w:proofErr w:type="gramStart"/>
      <w:r w:rsidRPr="00D671FF">
        <w:rPr>
          <w:rFonts w:ascii="Segoe UI" w:eastAsia="Times New Roman" w:hAnsi="Segoe UI" w:cs="Segoe UI"/>
          <w:color w:val="212529"/>
          <w:sz w:val="24"/>
          <w:szCs w:val="24"/>
        </w:rPr>
        <w:t>na</w:t>
      </w:r>
      <w:proofErr w:type="gramEnd"/>
      <w:r w:rsidRPr="00D671FF">
        <w:rPr>
          <w:rFonts w:ascii="Segoe UI" w:eastAsia="Times New Roman" w:hAnsi="Segoe UI" w:cs="Segoe UI"/>
          <w:color w:val="212529"/>
          <w:sz w:val="24"/>
          <w:szCs w:val="24"/>
        </w:rPr>
        <w:t xml:space="preserve"> imovinu je primalac lizinga iz člana 2. </w:t>
      </w:r>
      <w:proofErr w:type="gramStart"/>
      <w:r w:rsidRPr="00D671FF">
        <w:rPr>
          <w:rFonts w:ascii="Segoe UI" w:eastAsia="Times New Roman" w:hAnsi="Segoe UI" w:cs="Segoe UI"/>
          <w:color w:val="212529"/>
          <w:sz w:val="24"/>
          <w:szCs w:val="24"/>
        </w:rPr>
        <w:t>stav</w:t>
      </w:r>
      <w:proofErr w:type="gramEnd"/>
      <w:r w:rsidRPr="00D671FF">
        <w:rPr>
          <w:rFonts w:ascii="Segoe UI" w:eastAsia="Times New Roman" w:hAnsi="Segoe UI" w:cs="Segoe UI"/>
          <w:color w:val="212529"/>
          <w:sz w:val="24"/>
          <w:szCs w:val="24"/>
        </w:rPr>
        <w:t xml:space="preserve"> 1. </w:t>
      </w:r>
      <w:proofErr w:type="gramStart"/>
      <w:r w:rsidRPr="00D671FF">
        <w:rPr>
          <w:rFonts w:ascii="Segoe UI" w:eastAsia="Times New Roman" w:hAnsi="Segoe UI" w:cs="Segoe UI"/>
          <w:color w:val="212529"/>
          <w:sz w:val="24"/>
          <w:szCs w:val="24"/>
        </w:rPr>
        <w:t>tačka</w:t>
      </w:r>
      <w:proofErr w:type="gramEnd"/>
      <w:r w:rsidRPr="00D671FF">
        <w:rPr>
          <w:rFonts w:ascii="Segoe UI" w:eastAsia="Times New Roman" w:hAnsi="Segoe UI" w:cs="Segoe UI"/>
          <w:color w:val="212529"/>
          <w:sz w:val="24"/>
          <w:szCs w:val="24"/>
        </w:rPr>
        <w:t xml:space="preserve"> 8) ovog zakona.</w:t>
      </w:r>
    </w:p>
    <w:p w:rsidR="007015E6" w:rsidRDefault="007015E6"/>
    <w:sectPr w:rsidR="007015E6" w:rsidSect="007015E6">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441F17"/>
    <w:multiLevelType w:val="multilevel"/>
    <w:tmpl w:val="B9AE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7EE5E51"/>
    <w:multiLevelType w:val="multilevel"/>
    <w:tmpl w:val="4D205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0565B1B"/>
    <w:multiLevelType w:val="multilevel"/>
    <w:tmpl w:val="EA209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9C001D0"/>
    <w:multiLevelType w:val="multilevel"/>
    <w:tmpl w:val="4A1C7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2"/>
  </w:num>
  <w:num w:numId="3">
    <w:abstractNumId w:val="1"/>
  </w:num>
  <w:num w:numId="4">
    <w:abstractNumId w:val="0"/>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savePreviewPicture/>
  <w:compat/>
  <w:rsids>
    <w:rsidRoot w:val="00D671FF"/>
    <w:rsid w:val="007015E6"/>
    <w:rsid w:val="00D671FF"/>
    <w:rsid w:val="00F31E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5E6"/>
  </w:style>
  <w:style w:type="paragraph" w:styleId="Heading2">
    <w:name w:val="heading 2"/>
    <w:basedOn w:val="Normal"/>
    <w:link w:val="Heading2Char"/>
    <w:uiPriority w:val="9"/>
    <w:qFormat/>
    <w:rsid w:val="00D671F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71F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D671F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671FF"/>
    <w:rPr>
      <w:b/>
      <w:bCs/>
    </w:rPr>
  </w:style>
  <w:style w:type="character" w:styleId="Hyperlink">
    <w:name w:val="Hyperlink"/>
    <w:basedOn w:val="DefaultParagraphFont"/>
    <w:uiPriority w:val="99"/>
    <w:semiHidden/>
    <w:unhideWhenUsed/>
    <w:rsid w:val="00D671FF"/>
    <w:rPr>
      <w:color w:val="0000FF"/>
      <w:u w:val="single"/>
    </w:rPr>
  </w:style>
  <w:style w:type="character" w:styleId="Emphasis">
    <w:name w:val="Emphasis"/>
    <w:basedOn w:val="DefaultParagraphFont"/>
    <w:uiPriority w:val="20"/>
    <w:qFormat/>
    <w:rsid w:val="00D671FF"/>
    <w:rPr>
      <w:i/>
      <w:iCs/>
    </w:rPr>
  </w:style>
  <w:style w:type="paragraph" w:customStyle="1" w:styleId="fs-26">
    <w:name w:val="fs-26"/>
    <w:basedOn w:val="Normal"/>
    <w:rsid w:val="00D671F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671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71F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70930923">
      <w:bodyDiv w:val="1"/>
      <w:marLeft w:val="0"/>
      <w:marRight w:val="0"/>
      <w:marTop w:val="0"/>
      <w:marBottom w:val="0"/>
      <w:divBdr>
        <w:top w:val="none" w:sz="0" w:space="0" w:color="auto"/>
        <w:left w:val="none" w:sz="0" w:space="0" w:color="auto"/>
        <w:bottom w:val="none" w:sz="0" w:space="0" w:color="auto"/>
        <w:right w:val="none" w:sz="0" w:space="0" w:color="auto"/>
      </w:divBdr>
      <w:divsChild>
        <w:div w:id="871190739">
          <w:marLeft w:val="0"/>
          <w:marRight w:val="0"/>
          <w:marTop w:val="0"/>
          <w:marBottom w:val="0"/>
          <w:divBdr>
            <w:top w:val="single" w:sz="6" w:space="0" w:color="C6C8CA"/>
            <w:left w:val="single" w:sz="6" w:space="0" w:color="C6C8CA"/>
            <w:bottom w:val="single" w:sz="6" w:space="0" w:color="C6C8CA"/>
            <w:right w:val="single" w:sz="6" w:space="0" w:color="C6C8CA"/>
          </w:divBdr>
        </w:div>
        <w:div w:id="357242346">
          <w:marLeft w:val="-225"/>
          <w:marRight w:val="-225"/>
          <w:marTop w:val="0"/>
          <w:marBottom w:val="0"/>
          <w:divBdr>
            <w:top w:val="none" w:sz="0" w:space="0" w:color="auto"/>
            <w:left w:val="none" w:sz="0" w:space="0" w:color="auto"/>
            <w:bottom w:val="none" w:sz="0" w:space="0" w:color="auto"/>
            <w:right w:val="none" w:sz="0" w:space="0" w:color="auto"/>
          </w:divBdr>
          <w:divsChild>
            <w:div w:id="382560060">
              <w:marLeft w:val="0"/>
              <w:marRight w:val="0"/>
              <w:marTop w:val="0"/>
              <w:marBottom w:val="0"/>
              <w:divBdr>
                <w:top w:val="none" w:sz="0" w:space="0" w:color="auto"/>
                <w:left w:val="none" w:sz="0" w:space="0" w:color="auto"/>
                <w:bottom w:val="none" w:sz="0" w:space="0" w:color="auto"/>
                <w:right w:val="none" w:sz="0" w:space="0" w:color="auto"/>
              </w:divBdr>
              <w:divsChild>
                <w:div w:id="151961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aragraf.rs/propisi/zakon_o_porezima_na_imovinu.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aragraf.rs/propisi/zakon-o-porezu-na-dodatu-vrednost.html" TargetMode="External"/><Relationship Id="rId5" Type="http://schemas.openxmlformats.org/officeDocument/2006/relationships/hyperlink" Target="https://www.paragraf.rs/propisi/zakon_o_finansijskom_lizingu.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2010</Words>
  <Characters>11461</Characters>
  <Application>Microsoft Office Word</Application>
  <DocSecurity>0</DocSecurity>
  <Lines>95</Lines>
  <Paragraphs>26</Paragraphs>
  <ScaleCrop>false</ScaleCrop>
  <Company/>
  <LinksUpToDate>false</LinksUpToDate>
  <CharactersWithSpaces>13445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FinanceTeam</dc:creator>
  <cp:lastModifiedBy>FinanceTeam</cp:lastModifiedBy>
  <cp:revision>1</cp:revision>
  <dcterms:created xsi:type="dcterms:W3CDTF">2025-09-18T12:43:00Z</dcterms:created>
  <dcterms:modified xsi:type="dcterms:W3CDTF">2025-09-18T12:45:00Z</dcterms:modified>
</cp:coreProperties>
</file>