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10"/>
      </w:tblGrid>
      <w:tr w:rsidR="00C762AC" w:rsidRPr="00C762AC" w:rsidTr="00C762AC">
        <w:tc>
          <w:tcPr>
            <w:tcW w:w="0" w:type="auto"/>
            <w:shd w:val="clear" w:color="auto" w:fill="A41E1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outlineLvl w:val="0"/>
              <w:rPr>
                <w:rFonts w:ascii="inherit" w:eastAsia="Times New Roman" w:hAnsi="inherit" w:cs="Arial"/>
                <w:b/>
                <w:bCs/>
                <w:color w:val="666666"/>
                <w:kern w:val="36"/>
                <w:sz w:val="36"/>
                <w:szCs w:val="36"/>
              </w:rPr>
            </w:pPr>
            <w:r w:rsidRPr="00C762AC">
              <w:rPr>
                <w:rFonts w:ascii="Arial" w:eastAsia="Times New Roman" w:hAnsi="Arial" w:cs="Arial"/>
                <w:b/>
                <w:bCs/>
                <w:color w:val="FFE8BF"/>
                <w:kern w:val="36"/>
                <w:sz w:val="35"/>
              </w:rPr>
              <w:t>PRAVILNIK</w:t>
            </w:r>
            <w:r w:rsidRPr="00C762AC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33"/>
              </w:rPr>
              <w:t>O AMORTIZACIJI STALNIH SREDSTAVA KOJA SE PRIZNAJE ZA PORESKE SVRHE</w:t>
            </w:r>
          </w:p>
          <w:p w:rsidR="00C762AC" w:rsidRPr="00C762AC" w:rsidRDefault="00C762AC" w:rsidP="00C762AC">
            <w:pPr>
              <w:shd w:val="clear" w:color="auto" w:fill="00000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1"/>
                <w:szCs w:val="21"/>
              </w:rPr>
            </w:pPr>
            <w:r w:rsidRPr="00C762AC"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1"/>
                <w:szCs w:val="21"/>
              </w:rPr>
              <w:t>("Sl. glasnik RS", br. 93/2019)</w:t>
            </w:r>
          </w:p>
        </w:tc>
      </w:tr>
    </w:tbl>
    <w:p w:rsidR="00C762AC" w:rsidRPr="00C762AC" w:rsidRDefault="00C762AC" w:rsidP="00C762A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0" w:name="clan_1"/>
      <w:bookmarkEnd w:id="0"/>
      <w:r w:rsidRPr="00C762AC">
        <w:rPr>
          <w:rFonts w:ascii="Arial" w:eastAsia="Times New Roman" w:hAnsi="Arial" w:cs="Arial"/>
          <w:b/>
          <w:bCs/>
          <w:color w:val="333333"/>
          <w:sz w:val="19"/>
          <w:szCs w:val="19"/>
        </w:rPr>
        <w:t>Član 1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Ovim pravilnikom uređuju se način razvrstavanja stalnih sredstava po grupama, vrste nematerijalnih sredstava i način utvrđivanja amortizacije stalnih sredstava za poreske svrhe.</w:t>
      </w:r>
      <w:proofErr w:type="gramEnd"/>
    </w:p>
    <w:p w:rsidR="00C762AC" w:rsidRPr="00C762AC" w:rsidRDefault="00C762AC" w:rsidP="00C762A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1" w:name="clan_2"/>
      <w:bookmarkEnd w:id="1"/>
      <w:r w:rsidRPr="00C762AC">
        <w:rPr>
          <w:rFonts w:ascii="Arial" w:eastAsia="Times New Roman" w:hAnsi="Arial" w:cs="Arial"/>
          <w:b/>
          <w:bCs/>
          <w:color w:val="333333"/>
          <w:sz w:val="19"/>
          <w:szCs w:val="19"/>
        </w:rPr>
        <w:t>Član 2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>Stalna sredstva koja podležu obračunu amortizacije za poreske svrhe (u daljem tekstu: poreska amortizacija), osim nematerijalnih sredstava, razvrstavaju se po grupama i amortizuju po stopama propisanim članom 10b stav 3. Zakona o porezu na dobit pravnih lica ("Službeni glasnik RS", br. 25/01, 80/02, 80/02 - dr. zakon, 43/03, 84/04, 18/10, 101/11, 119/12, 47/13, 108/13, 68/14 - dr. zakon, 142/14, 91/15 - autentično tumačenje, 112/15, 113/17, 95/18 i 86/19 - u daljem tekstu: Zakon), i to:</w:t>
      </w:r>
    </w:p>
    <w:tbl>
      <w:tblPr>
        <w:tblW w:w="1551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"/>
        <w:gridCol w:w="308"/>
        <w:gridCol w:w="10379"/>
        <w:gridCol w:w="4347"/>
      </w:tblGrid>
      <w:tr w:rsidR="00C762AC" w:rsidRPr="00C762AC" w:rsidTr="00C762A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Broj</w:t>
            </w: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grupe</w:t>
            </w:r>
          </w:p>
        </w:tc>
        <w:tc>
          <w:tcPr>
            <w:tcW w:w="10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Vrsta stalnih sredstava</w:t>
            </w:r>
          </w:p>
        </w:tc>
        <w:tc>
          <w:tcPr>
            <w:tcW w:w="434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Amortizaciona</w:t>
            </w: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stopa</w:t>
            </w:r>
          </w:p>
        </w:tc>
      </w:tr>
      <w:tr w:rsidR="00C762AC" w:rsidRPr="00C762AC" w:rsidTr="00C762A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10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434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Asfaltne površine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2.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Avionske piste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3.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Brane za akumulaciju voda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2,5%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4.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Cevi za gasovod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5.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Dokovi za vezivanje brodova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6.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Elektrane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7.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Električni dalekovodi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8.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Hangari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9.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Lukobrani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10.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Marine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11.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Mostovi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12.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Nadvožnjaci i vijadukti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13.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Naftovodi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14.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Odvodni i dovodni kanali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15.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Parking površine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16.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Putevi i auto-putevi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17.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Ribnjaci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18.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Skladišta i rezervoari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19.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Sportski objekti (stadioni, bazeni, sportske hale i dr.)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20.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Silosi na poljoprivrednim dobrima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21.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Tuneli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22.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Vodovodi i cevovodi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23.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Železnička infrastruktura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24.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Zgrade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25.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Sve ostale nepomenute nepokretnosti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1.</w:t>
            </w:r>
          </w:p>
        </w:tc>
        <w:tc>
          <w:tcPr>
            <w:tcW w:w="103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Avioni</w:t>
            </w:r>
          </w:p>
        </w:tc>
        <w:tc>
          <w:tcPr>
            <w:tcW w:w="434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2.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Brodovi i ostali plovni objekti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10%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3.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Klima uređaji, kaloriferi, vazdušne zavese, napa kondenzaciona i sva ostala oprema za hlađenje, grejanje i protok vazduha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4.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Liftovi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5.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Bojleri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6.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Nameštaj u brodovima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7.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Medicinska oprema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8.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Ograde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9.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Nameštaj za poslovni prostor (stolovi, stolice, fotelje, komode, ormani, police i dr.)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10.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Oprema za proizvodnju i distribuciju solarne energije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11.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Oprema za proizvodnju i distribuciju električne energije, gasa, toplote i vode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12.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Vagoni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13.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Vinogradi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14.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Voćnjaci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15.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Nepokretnosti koje imaju upotrebni vek kraći od 40 godina (za koje obveznik mišljenjem ovlašćenog veštaka dokumentuje da im je upotrebni vek kraći od 40 godina)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</w:t>
            </w:r>
          </w:p>
        </w:tc>
        <w:tc>
          <w:tcPr>
            <w:tcW w:w="103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Alat i inventar</w:t>
            </w:r>
          </w:p>
        </w:tc>
        <w:tc>
          <w:tcPr>
            <w:tcW w:w="434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Autobusi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Automobili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Oprema za termo elektrane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15%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Oprema za proizvodnju mleka i mlečnih proizvoda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Fiskalne kase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Fliperi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Hladnjače za povrće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Kalkulatori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10.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Kamioni i prikolice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11.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Laboratorijska oprema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12.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Mašine za čišćenje žitarica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13.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Oprema za fotokopiranje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Ulaganje na tuđim osnovnim sredstvima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15.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Oprema za istraživanje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16.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Postrojenja za pravljenje betona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17.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Pokretna oprema za proizvodnju električne energije (agregati i sl.)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18.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Radari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20.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Televizijske antene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21.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Sva ostala stalna sredstva (osim nepokretnosti) koja nisu posebno naznačena u grupama II do V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1.</w:t>
            </w:r>
          </w:p>
        </w:tc>
        <w:tc>
          <w:tcPr>
            <w:tcW w:w="103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Nameštaj u avionima</w:t>
            </w:r>
          </w:p>
        </w:tc>
        <w:tc>
          <w:tcPr>
            <w:tcW w:w="434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2.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Oprema za kontrolu zagađenja vazduha i vode - nelicencirana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3.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Oprema za emitovanje radio i TV programa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20%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4.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Oprema za naftne bušotine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5.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Oprema za obradu rude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6.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Rezervni delovi za avione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7.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Fiksna i mobilna telefonska oprema i aparati, faks aparati i telegrafska oprema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Povratna ambalaža koja se daje kupcima pri prodaji proizvoda sa obavezom vraćanja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1.</w:t>
            </w:r>
          </w:p>
        </w:tc>
        <w:tc>
          <w:tcPr>
            <w:tcW w:w="103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Automobili za iznajmljivanje ili lizing i taksi vozila</w:t>
            </w:r>
          </w:p>
        </w:tc>
        <w:tc>
          <w:tcPr>
            <w:tcW w:w="434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2.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Bilbordi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3.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Branici za puteve i pruge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30%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4.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Električne reklame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5.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Elektronska i IT oprema za procesiranje podataka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6.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Oprema za informatičku infrastrukturu (Yupak, Internet)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7.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Filmovi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8.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Televizijske reklame i spotovi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9.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Građevinska pokretna oprema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10.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Kalupi za livenje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11.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Knjige u biblioteci koje se iznajmljuju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12.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Industrijski noževi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13.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Oprema za seču drveća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14.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Platno (tepisi, zastori, zavese, itisoni i sl.)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15.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Pokretna oprema koja koristi električnu energiju (bušilica, brusilica i sl.)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16.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Pokretni kampovi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17.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Skeneri za bar kod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18.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Traktori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19.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Uniforme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20.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Video igre - na novčić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21.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Video trake, CD, DVD i sl.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762AC" w:rsidRPr="00C762AC" w:rsidTr="00C762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22.</w:t>
            </w:r>
          </w:p>
        </w:tc>
        <w:tc>
          <w:tcPr>
            <w:tcW w:w="103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Osnovno stado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C762AC" w:rsidRPr="00C762AC" w:rsidRDefault="00C762AC" w:rsidP="00C762A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2" w:name="clan_3"/>
      <w:bookmarkEnd w:id="2"/>
      <w:r w:rsidRPr="00C762AC">
        <w:rPr>
          <w:rFonts w:ascii="Arial" w:eastAsia="Times New Roman" w:hAnsi="Arial" w:cs="Arial"/>
          <w:b/>
          <w:bCs/>
          <w:color w:val="333333"/>
          <w:sz w:val="19"/>
          <w:szCs w:val="19"/>
        </w:rPr>
        <w:t>Član 3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Poreska amortizacija stalnih sredstava utvrđuje se primenom proporcionalne metode za svako stalno sredstvo posebno,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na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sledeći način:</w:t>
      </w:r>
    </w:p>
    <w:tbl>
      <w:tblPr>
        <w:tblW w:w="155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7190"/>
        <w:gridCol w:w="7871"/>
      </w:tblGrid>
      <w:tr w:rsidR="00C762AC" w:rsidRPr="00C762AC" w:rsidTr="00C762AC">
        <w:tc>
          <w:tcPr>
            <w:tcW w:w="100" w:type="pct"/>
            <w:vMerge w:val="restar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OA =</w:t>
            </w:r>
          </w:p>
        </w:tc>
        <w:tc>
          <w:tcPr>
            <w:tcW w:w="16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gramStart"/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nabavna</w:t>
            </w:r>
            <w:proofErr w:type="gramEnd"/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vr. na poslednji dan poreskog perioda x broj dana korišćenja u poreskom periodu</w:t>
            </w:r>
          </w:p>
        </w:tc>
        <w:tc>
          <w:tcPr>
            <w:tcW w:w="325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x amortizaciona stopa</w:t>
            </w:r>
          </w:p>
        </w:tc>
      </w:tr>
      <w:tr w:rsidR="00C762AC" w:rsidRPr="00C762AC" w:rsidTr="00C762A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62AC" w:rsidRPr="00C762AC" w:rsidRDefault="00C762AC" w:rsidP="00C762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762A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365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762AC" w:rsidRPr="00C762AC" w:rsidRDefault="00C762AC" w:rsidP="00C762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Nabavna vrednost stalnog sredstva za svrhu obračuna poreske amortizacije (u daljem tekstu: nabavna vrednost) predstavlja vrednost po kojoj je sredstvo prvi put priznato u poslovnim knjigama u skladu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sa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propisima o računovodstvu i MRS, odnosno MSFI i MSFI za MSP (u daljem tekstu: propisi o računovodstvu).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Nabavna vrednost ne može se menjati tokom trajanja obračuna poreske amortizacije, osim u slučaju naknadnih ulaganja koja se u skladu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sa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propisima o računovodstvu uključuju u nabavnu vrednost stalnog sredstva (u daljem tekstu: naknadna ulaganja).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Ukoliko je iznos amortizacije obračunat u skladu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sa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propisima o računovodstvu (u daljem tekstu: računovodstvena amortizacija) niži od iznosa poreske amortizacije, utvrđene u skladu sa stavom 1.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ovog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člana, kao rashod amortizacije u poreskom periodu priznaje se računovodstvena amortizacija.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>Ukupan iznos amortizacije utvrđene za svako stalno sredstvo posebno, priznaje se najviše do iznosa nabavne vrednosti svakog stalnog sredstva posebno, uvećane za eventualna naknadna ulaganja.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Obračun poreske amortizacije započinje i prestaje istovremeno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sa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obračunom računovodstvene amortizacije.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>U slučaju kada je u poreskom periodu stalno sredstvo otuđeno, odnosno uništeno, kao rashod u tom poreskom periodu priznaje se iznos pozitivne razlike između neotpisane poreske i neotpisane računovodstvene vrednosti tog sredstva koja se utvrđuje u poreskom periodu u kojem je došlo do prestanka obračuna amortizacije, pri čemu se tako utvrđena razlika umanjuje za rashod obezvređenja koji se priznaje u istom poreskom periodu u skladu sa Zakonom.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Neotpisana poreska vrednost iz stava 7.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ovog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člana utvrđuje se tako što se nabavna vrednost, uvećana za naknadna ulaganja, umanji za iznos poreske amortizacije.</w:t>
      </w:r>
    </w:p>
    <w:p w:rsidR="00C762AC" w:rsidRPr="00C762AC" w:rsidRDefault="00C762AC" w:rsidP="00C762A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3" w:name="clan_4"/>
      <w:bookmarkEnd w:id="3"/>
      <w:r w:rsidRPr="00C762AC">
        <w:rPr>
          <w:rFonts w:ascii="Arial" w:eastAsia="Times New Roman" w:hAnsi="Arial" w:cs="Arial"/>
          <w:b/>
          <w:bCs/>
          <w:color w:val="333333"/>
          <w:sz w:val="19"/>
          <w:szCs w:val="19"/>
        </w:rPr>
        <w:t>Član 4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Amortizacija investicionih nekretnina koje se nakon početnog priznavanja u poslovnim knjigama obveznika vrednuju po metodi fer vrednosti, utvrđuje se shodnom primenom odredaba člana 3.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st. 1, 2, 3.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i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5.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ovog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pravilnika, primenom stope od 2,5%.</w:t>
      </w:r>
    </w:p>
    <w:p w:rsidR="00C762AC" w:rsidRPr="00C762AC" w:rsidRDefault="00C762AC" w:rsidP="00C762A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4" w:name="clan_5"/>
      <w:bookmarkEnd w:id="4"/>
      <w:r w:rsidRPr="00C762AC">
        <w:rPr>
          <w:rFonts w:ascii="Arial" w:eastAsia="Times New Roman" w:hAnsi="Arial" w:cs="Arial"/>
          <w:b/>
          <w:bCs/>
          <w:color w:val="333333"/>
          <w:sz w:val="19"/>
          <w:szCs w:val="19"/>
        </w:rPr>
        <w:t>Član 5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Amortizacija nematerijalnih sredstava priznaje se kao rashod u iznosu računovodstvene amortizacije.</w:t>
      </w:r>
      <w:proofErr w:type="gramEnd"/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Pod nematerijalnim sredstvima iz stava 1.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ovog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člana podrazumevaju se ulaganja izvršena u određena nemonetarna sredstva bez fizičkog sadržaja, kao što su: koncesije, patenti, robne i uslužne marke, žigovi, modeli, licence, franšize i ostala nematerijalna sredstva.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Izuzetno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od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stava 2.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ovog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člana, u slučaju stalnih sredstava koja su uzeta u zakup sa pravom korišćenja dužim od godinu dana, a koja se, shodno propisima o računovodstvu kod primaoca lizinga priznaju kao sredstvo, rashod po osnovu amortizacije priznaje se u skladu sa stavom 1.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ovog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člana.</w:t>
      </w:r>
    </w:p>
    <w:p w:rsidR="00C762AC" w:rsidRPr="00C762AC" w:rsidRDefault="00C762AC" w:rsidP="00C762A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5" w:name="clan_6"/>
      <w:bookmarkEnd w:id="5"/>
      <w:r w:rsidRPr="00C762AC">
        <w:rPr>
          <w:rFonts w:ascii="Arial" w:eastAsia="Times New Roman" w:hAnsi="Arial" w:cs="Arial"/>
          <w:b/>
          <w:bCs/>
          <w:color w:val="333333"/>
          <w:sz w:val="19"/>
          <w:szCs w:val="19"/>
        </w:rPr>
        <w:t>Član 6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Obračun poreske amortizacije stalnih sredstava koja su stečena putem statusne promene, obveznik - sticalac nastavlja do isteka preostalog amortizacionog veka i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na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način koji je u skladu sa ovim pravilnikom utvrdio obveznik koji ta sredstva prenosi statusnom promenom.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Obračun poreske amortizacije stalnih sredstava koja su stečena putem statusne promene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od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obveznika - prenosioca koji je amortizaciju tih sredstava utvrđivao na način propisan odredbama člana 10. Zakona, obveznik - sticalac nastavlja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na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isti način koji je primenjivao i obveznik - prenosilac.</w:t>
      </w:r>
    </w:p>
    <w:p w:rsidR="00C762AC" w:rsidRPr="00C762AC" w:rsidRDefault="00C762AC" w:rsidP="00C762A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6" w:name="clan_7"/>
      <w:bookmarkEnd w:id="6"/>
      <w:r w:rsidRPr="00C762AC">
        <w:rPr>
          <w:rFonts w:ascii="Arial" w:eastAsia="Times New Roman" w:hAnsi="Arial" w:cs="Arial"/>
          <w:b/>
          <w:bCs/>
          <w:color w:val="333333"/>
          <w:sz w:val="19"/>
          <w:szCs w:val="19"/>
        </w:rPr>
        <w:t>Član 7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>Obveznik je dužan da za svako stalno sredstvo pojedinačno obezbedi sledeće podatke: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1)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datum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kada je stalno sredstvo nabavljeno i stavljeno u upotrebu;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2)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iznos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nabavne vrednosti;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3)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datum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započinjanja obračuna računovodstvene amortizacije;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4)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iznos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naknadnih ulaganja;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5)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iznos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računovodstvene amortizacije u poreskom periodu;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6)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iznos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računovodstvene amortizacije koji se, u poreskom periodu, priznaje za poreske svrhe;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7)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iznos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poreske amortizacije u poreskom periodu;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8)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iznos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poreske amortizacije koji se, u poreskom periodu, priznaje za poreske svrhe;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9)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iznos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neotpisane poreske vrednosti na kraju poreskog perioda;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10)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iznos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neotpisane poreske vrednosti na dan prestanka obračuna amortizacije;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11)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iznos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neotpisane računovodstvene vrednosti na dan prestanka obračuna amortizacije.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Izuzetno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od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stava 1.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ovog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člana, obveznik je dužan da podatke iz stava 1.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tač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. 5), 6), 8), 10) i 11) ovog člana obezbedi i u zbirnom iznosu za sva stalna sredstva za koja se amortizacija utvrđuje u skladu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sa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ovim pravilnikom.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Podatak o amortizaciji koja se priznaje kao rashod za poreske svrhe obveznik iskazuje u Obrascu POA - Podaci o amortizaciji stalnih sredstava stečenih počev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od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1.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januara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2019.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godine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za period od _____.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do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_____.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20__.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godine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>, koji je odštampan uz ovaj pravilnik i čini njegov sastavni deo.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U Obrascu POA iskazuju se podaci za sva stalna sredstva u zbirnom iznosu,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na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sledeći način: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1)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pod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rednim brojem 1. - Iznos amortizacije koji se priznaje kao rashod u poreskom periodu;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2)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pod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rednim brojem 2. - Iznos razlike između neotpisane poreske i neotpisane računovodstvene vrednosti stalnih sredstava, koji se priznaje u poreskom periodu kao rashod u skladu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sa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članom 3.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stav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7.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ovog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pravilnika;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3)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pod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rednim brojem 3. - Ukupan iznos amortizacije koji se priznaje kao rashod u poreskom periodu, izražen kao zbir iznosa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sa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red.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br. 1.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i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2.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ovog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obrasca. Podatak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sa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ovog rednog broja, uvećan za iznos amortizacije stalnih sredstava utvrđen na način propisan odredbama člana 10. Zakona, iskazuje se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na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odgovarajućem rednom broju Obrasca PB 1, koji je propisan pravilnikom kojim se uređuje sadržaj poreskog bilansa i druga pitanja od značaja za način utvrđivanja poreza na dobit pravnih lica.</w:t>
      </w:r>
    </w:p>
    <w:p w:rsidR="00C762AC" w:rsidRPr="00C762AC" w:rsidRDefault="00C762AC" w:rsidP="00C762A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7" w:name="clan_8"/>
      <w:bookmarkEnd w:id="7"/>
      <w:r w:rsidRPr="00C762AC">
        <w:rPr>
          <w:rFonts w:ascii="Arial" w:eastAsia="Times New Roman" w:hAnsi="Arial" w:cs="Arial"/>
          <w:b/>
          <w:bCs/>
          <w:color w:val="333333"/>
          <w:sz w:val="19"/>
          <w:szCs w:val="19"/>
        </w:rPr>
        <w:t>Član 8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Ne utvrđuje se amortizacija za stalna sredstva koja se prema propisima o računovodstvu vode kao zalihe.</w:t>
      </w:r>
      <w:proofErr w:type="gramEnd"/>
    </w:p>
    <w:p w:rsidR="00C762AC" w:rsidRPr="00C762AC" w:rsidRDefault="00C762AC" w:rsidP="00C762A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8" w:name="clan_9"/>
      <w:bookmarkEnd w:id="8"/>
      <w:r w:rsidRPr="00C762AC">
        <w:rPr>
          <w:rFonts w:ascii="Arial" w:eastAsia="Times New Roman" w:hAnsi="Arial" w:cs="Arial"/>
          <w:b/>
          <w:bCs/>
          <w:color w:val="333333"/>
          <w:sz w:val="19"/>
          <w:szCs w:val="19"/>
        </w:rPr>
        <w:t>Član 9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Za stalna sredstva stečena zaključno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sa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31.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decembrom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2018.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godine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, odnosno poslednjim danom poreskog perioda koji počinje u 2018.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godini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, a koja su stavljena u upotrebu počev od 1.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januara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2019.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godine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, odnosno prvog dana poreskog perioda koji počinje u 2019.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godini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>, amortizacija se utvrđuje u skladu sa Pravilnikom o načinu razvrstavanja stalnih sredstava po grupama i načinu utvrđivanja amortizacije za poreske svrhe ("Službeni glasnik RS", br. 116/04, 99/10, 104/18 i 8/19).</w:t>
      </w:r>
    </w:p>
    <w:p w:rsidR="00C762AC" w:rsidRPr="00C762AC" w:rsidRDefault="00C762AC" w:rsidP="00C762A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9" w:name="clan_10"/>
      <w:bookmarkEnd w:id="9"/>
      <w:r w:rsidRPr="00C762AC">
        <w:rPr>
          <w:rFonts w:ascii="Arial" w:eastAsia="Times New Roman" w:hAnsi="Arial" w:cs="Arial"/>
          <w:b/>
          <w:bCs/>
          <w:color w:val="333333"/>
          <w:sz w:val="19"/>
          <w:szCs w:val="19"/>
        </w:rPr>
        <w:t>Član 10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Odredbe ovog pravilnika primenjuju se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na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stalna sredstva stečena počev od 1.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januara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2019.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godine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, odnosno počev od prvog dana poreskog perioda koji počinje u 2019.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godini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>.</w:t>
      </w:r>
    </w:p>
    <w:p w:rsidR="00C762AC" w:rsidRPr="00C762AC" w:rsidRDefault="00C762AC" w:rsidP="00C762A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10" w:name="clan_11"/>
      <w:bookmarkEnd w:id="10"/>
      <w:r w:rsidRPr="00C762AC">
        <w:rPr>
          <w:rFonts w:ascii="Arial" w:eastAsia="Times New Roman" w:hAnsi="Arial" w:cs="Arial"/>
          <w:b/>
          <w:bCs/>
          <w:color w:val="333333"/>
          <w:sz w:val="19"/>
          <w:szCs w:val="19"/>
        </w:rPr>
        <w:t>Član 11</w:t>
      </w:r>
    </w:p>
    <w:p w:rsidR="00C762AC" w:rsidRPr="00C762AC" w:rsidRDefault="00C762AC" w:rsidP="00C76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Ovaj pravilnik stupa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na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snagu 1.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januara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 xml:space="preserve"> 2020. </w:t>
      </w:r>
      <w:proofErr w:type="gramStart"/>
      <w:r w:rsidRPr="00C762AC">
        <w:rPr>
          <w:rFonts w:ascii="Arial" w:eastAsia="Times New Roman" w:hAnsi="Arial" w:cs="Arial"/>
          <w:color w:val="333333"/>
          <w:sz w:val="19"/>
          <w:szCs w:val="19"/>
        </w:rPr>
        <w:t>godine</w:t>
      </w:r>
      <w:proofErr w:type="gramEnd"/>
      <w:r w:rsidRPr="00C762AC">
        <w:rPr>
          <w:rFonts w:ascii="Arial" w:eastAsia="Times New Roman" w:hAnsi="Arial" w:cs="Arial"/>
          <w:color w:val="333333"/>
          <w:sz w:val="19"/>
          <w:szCs w:val="19"/>
        </w:rPr>
        <w:t>.</w:t>
      </w:r>
    </w:p>
    <w:p w:rsidR="007015E6" w:rsidRDefault="007015E6"/>
    <w:sectPr w:rsidR="007015E6" w:rsidSect="00C762A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C762AC"/>
    <w:rsid w:val="00082CE6"/>
    <w:rsid w:val="007015E6"/>
    <w:rsid w:val="00C7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1">
    <w:name w:val="heading 1"/>
    <w:basedOn w:val="Normal"/>
    <w:link w:val="Heading1Char"/>
    <w:uiPriority w:val="9"/>
    <w:qFormat/>
    <w:rsid w:val="00C762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76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2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762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propisa1">
    <w:name w:val="naslovpropisa1"/>
    <w:basedOn w:val="DefaultParagraphFont"/>
    <w:rsid w:val="00C762AC"/>
  </w:style>
  <w:style w:type="character" w:customStyle="1" w:styleId="naslovpropisa1a">
    <w:name w:val="naslovpropisa1a"/>
    <w:basedOn w:val="DefaultParagraphFont"/>
    <w:rsid w:val="00C762AC"/>
  </w:style>
  <w:style w:type="paragraph" w:customStyle="1" w:styleId="clan">
    <w:name w:val="clan"/>
    <w:basedOn w:val="Normal"/>
    <w:rsid w:val="00C7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rsid w:val="00C7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">
    <w:name w:val="normalcentar"/>
    <w:basedOn w:val="Normal"/>
    <w:rsid w:val="00C7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2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1626</Words>
  <Characters>9271</Characters>
  <Application>Microsoft Office Word</Application>
  <DocSecurity>0</DocSecurity>
  <Lines>77</Lines>
  <Paragraphs>21</Paragraphs>
  <ScaleCrop>false</ScaleCrop>
  <Company/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2026-03-05T19:53:00Z</dcterms:created>
  <dcterms:modified xsi:type="dcterms:W3CDTF">2026-03-05T19:55:00Z</dcterms:modified>
</cp:coreProperties>
</file>