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08D" w:rsidRPr="00E3608D" w:rsidRDefault="00E3608D" w:rsidP="00E3608D">
      <w:pPr>
        <w:spacing w:after="150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caps/>
          <w:color w:val="D23232"/>
          <w:kern w:val="36"/>
          <w:sz w:val="41"/>
          <w:szCs w:val="41"/>
        </w:rPr>
      </w:pPr>
      <w:r w:rsidRPr="00E3608D">
        <w:rPr>
          <w:rFonts w:ascii="Helvetica" w:eastAsia="Times New Roman" w:hAnsi="Helvetica" w:cs="Helvetica"/>
          <w:caps/>
          <w:color w:val="D23232"/>
          <w:kern w:val="36"/>
          <w:sz w:val="41"/>
          <w:szCs w:val="41"/>
        </w:rPr>
        <w:t>PRAVILNIK O SADRŽINI I FORMI OBRAZACA FINANSIJSKIH IZVEŠTAJA I SADRŽINI I FORMI OBRASCA STATISTIČKOG IZVEŠTAJA ZA DRUGA PRAVNA LICA</w:t>
      </w:r>
    </w:p>
    <w:p w:rsidR="00E3608D" w:rsidRPr="00E3608D" w:rsidRDefault="00E3608D" w:rsidP="00E3608D">
      <w:pPr>
        <w:spacing w:after="150" w:line="240" w:lineRule="auto"/>
        <w:jc w:val="center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E3608D">
        <w:rPr>
          <w:rFonts w:ascii="inherit" w:eastAsia="Times New Roman" w:hAnsi="inherit" w:cs="Times New Roman"/>
          <w:sz w:val="20"/>
          <w:szCs w:val="20"/>
        </w:rPr>
        <w:t>27.06.2020.</w:t>
      </w:r>
      <w:hyperlink r:id="rId4" w:history="1">
        <w:r w:rsidRPr="00E3608D">
          <w:rPr>
            <w:rFonts w:ascii="inherit" w:eastAsia="Times New Roman" w:hAnsi="inherit" w:cs="Times New Roman"/>
            <w:color w:val="0000FF"/>
            <w:sz w:val="24"/>
            <w:szCs w:val="24"/>
            <w:u w:val="single"/>
          </w:rPr>
          <w:t>Propisi</w:t>
        </w:r>
      </w:hyperlink>
      <w:hyperlink r:id="rId5" w:history="1">
        <w:r w:rsidRPr="00E3608D">
          <w:rPr>
            <w:rFonts w:ascii="inherit" w:eastAsia="Times New Roman" w:hAnsi="inherit" w:cs="Times New Roman"/>
            <w:color w:val="0000FF"/>
            <w:sz w:val="24"/>
            <w:szCs w:val="24"/>
            <w:u w:val="single"/>
          </w:rPr>
          <w:t>Računovodstvo / revizija</w:t>
        </w:r>
      </w:hyperlink>
      <w:hyperlink r:id="rId6" w:history="1">
        <w:r w:rsidRPr="00E3608D">
          <w:rPr>
            <w:rFonts w:ascii="inherit" w:eastAsia="Times New Roman" w:hAnsi="inherit" w:cs="Times New Roman"/>
            <w:color w:val="0000FF"/>
            <w:sz w:val="24"/>
            <w:szCs w:val="24"/>
            <w:u w:val="single"/>
          </w:rPr>
          <w:t>Pravilnik</w:t>
        </w:r>
      </w:hyperlink>
      <w:r w:rsidRPr="00E3608D">
        <w:rPr>
          <w:rFonts w:ascii="inherit" w:eastAsia="Times New Roman" w:hAnsi="inherit" w:cs="Times New Roman"/>
          <w:sz w:val="20"/>
        </w:rPr>
        <w:t>, </w:t>
      </w:r>
      <w:hyperlink r:id="rId7" w:history="1">
        <w:r w:rsidRPr="00E3608D">
          <w:rPr>
            <w:rFonts w:ascii="inherit" w:eastAsia="Times New Roman" w:hAnsi="inherit" w:cs="Times New Roman"/>
            <w:color w:val="0000FF"/>
            <w:sz w:val="24"/>
            <w:szCs w:val="24"/>
            <w:u w:val="single"/>
          </w:rPr>
          <w:t>Statistika</w:t>
        </w:r>
      </w:hyperlink>
      <w:r w:rsidRPr="00E3608D">
        <w:rPr>
          <w:rFonts w:ascii="inherit" w:eastAsia="Times New Roman" w:hAnsi="inherit" w:cs="Times New Roman"/>
          <w:sz w:val="20"/>
        </w:rPr>
        <w:t>, </w:t>
      </w:r>
      <w:hyperlink r:id="rId8" w:history="1">
        <w:r w:rsidRPr="00E3608D">
          <w:rPr>
            <w:rFonts w:ascii="inherit" w:eastAsia="Times New Roman" w:hAnsi="inherit" w:cs="Times New Roman"/>
            <w:color w:val="0000FF"/>
            <w:sz w:val="24"/>
            <w:szCs w:val="24"/>
            <w:u w:val="single"/>
          </w:rPr>
          <w:t>Udruženja</w:t>
        </w:r>
      </w:hyperlink>
      <w:r w:rsidRPr="00E3608D">
        <w:rPr>
          <w:rFonts w:ascii="inherit" w:eastAsia="Times New Roman" w:hAnsi="inherit" w:cs="Times New Roman"/>
          <w:sz w:val="20"/>
        </w:rPr>
        <w:t>, </w:t>
      </w:r>
      <w:hyperlink r:id="rId9" w:history="1">
        <w:r w:rsidRPr="00E3608D">
          <w:rPr>
            <w:rFonts w:ascii="inherit" w:eastAsia="Times New Roman" w:hAnsi="inherit" w:cs="Times New Roman"/>
            <w:color w:val="0000FF"/>
            <w:sz w:val="24"/>
            <w:szCs w:val="24"/>
            <w:u w:val="single"/>
          </w:rPr>
          <w:t>Finansijski izveštaji</w:t>
        </w:r>
      </w:hyperlink>
    </w:p>
    <w:p w:rsidR="00E3608D" w:rsidRPr="00E3608D" w:rsidRDefault="00E3608D" w:rsidP="00E3608D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Helvetica"/>
          <w:b/>
          <w:bCs/>
          <w:color w:val="333333"/>
          <w:sz w:val="26"/>
          <w:szCs w:val="26"/>
        </w:rPr>
      </w:pPr>
      <w:r w:rsidRPr="00E3608D">
        <w:rPr>
          <w:rFonts w:ascii="inherit" w:eastAsia="Times New Roman" w:hAnsi="inherit" w:cs="Helvetica"/>
          <w:b/>
          <w:bCs/>
          <w:color w:val="333333"/>
          <w:sz w:val="26"/>
          <w:szCs w:val="26"/>
        </w:rPr>
        <w:t>Sadržaj </w:t>
      </w:r>
      <w:r w:rsidRPr="00E3608D">
        <w:rPr>
          <w:rFonts w:ascii="inherit" w:eastAsia="Times New Roman" w:hAnsi="inherit" w:cs="Helvetica"/>
          <w:color w:val="333333"/>
          <w:sz w:val="23"/>
        </w:rPr>
        <w:t>[</w:t>
      </w:r>
      <w:hyperlink r:id="rId10" w:history="1">
        <w:r w:rsidRPr="00E3608D">
          <w:rPr>
            <w:rFonts w:ascii="Cambria Math" w:eastAsia="Times New Roman" w:hAnsi="Cambria Math" w:cs="Cambria Math"/>
            <w:color w:val="D23232"/>
            <w:sz w:val="23"/>
            <w:u w:val="single"/>
          </w:rPr>
          <w:t>≫</w:t>
        </w:r>
      </w:hyperlink>
      <w:r w:rsidRPr="00E3608D">
        <w:rPr>
          <w:rFonts w:ascii="inherit" w:eastAsia="Times New Roman" w:hAnsi="inherit" w:cs="Helvetica"/>
          <w:color w:val="333333"/>
          <w:sz w:val="23"/>
        </w:rPr>
        <w:t>]</w:t>
      </w:r>
    </w:p>
    <w:p w:rsidR="00E3608D" w:rsidRPr="00E3608D" w:rsidRDefault="00E3608D" w:rsidP="00E3608D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FFFFFF"/>
          <w:sz w:val="19"/>
        </w:rPr>
        <w:t>Omiljeno</w:t>
      </w:r>
    </w:p>
    <w:p w:rsidR="00E3608D" w:rsidRPr="00E3608D" w:rsidRDefault="00E3608D" w:rsidP="00E3608D">
      <w:pPr>
        <w:shd w:val="clear" w:color="auto" w:fill="FFFFFF"/>
        <w:spacing w:after="0" w:line="240" w:lineRule="auto"/>
        <w:textAlignment w:val="baseline"/>
        <w:outlineLvl w:val="5"/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</w:pPr>
      <w:r w:rsidRPr="00E3608D"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  <w:t>„Službeni glasnik RS“, broj </w:t>
      </w:r>
      <w:hyperlink r:id="rId11" w:history="1">
        <w:r w:rsidRPr="00E3608D">
          <w:rPr>
            <w:rFonts w:ascii="inherit" w:eastAsia="Times New Roman" w:hAnsi="inherit" w:cs="Helvetica"/>
            <w:b/>
            <w:bCs/>
            <w:color w:val="D23232"/>
            <w:sz w:val="27"/>
            <w:u w:val="single"/>
          </w:rPr>
          <w:t>89/2020</w:t>
        </w:r>
      </w:hyperlink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 </w:t>
      </w:r>
    </w:p>
    <w:p w:rsidR="00E3608D" w:rsidRPr="00E3608D" w:rsidRDefault="00E3608D" w:rsidP="00E3608D">
      <w:pPr>
        <w:shd w:val="clear" w:color="auto" w:fill="FFFFFF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b/>
          <w:bCs/>
          <w:color w:val="D23232"/>
          <w:sz w:val="33"/>
          <w:szCs w:val="33"/>
        </w:rPr>
      </w:pPr>
      <w:r w:rsidRPr="00E3608D">
        <w:rPr>
          <w:rFonts w:ascii="inherit" w:eastAsia="Times New Roman" w:hAnsi="inherit" w:cs="Helvetica"/>
          <w:b/>
          <w:bCs/>
          <w:color w:val="D23232"/>
          <w:sz w:val="33"/>
          <w:szCs w:val="33"/>
          <w:bdr w:val="none" w:sz="0" w:space="0" w:color="auto" w:frame="1"/>
        </w:rPr>
        <w:t>I. OSNOVNE ODREDBE</w:t>
      </w:r>
    </w:p>
    <w:p w:rsidR="00E3608D" w:rsidRPr="00E3608D" w:rsidRDefault="00E3608D" w:rsidP="00E3608D">
      <w:pPr>
        <w:shd w:val="clear" w:color="auto" w:fill="FFFFFF"/>
        <w:spacing w:after="120" w:line="240" w:lineRule="auto"/>
        <w:textAlignment w:val="baseline"/>
        <w:outlineLvl w:val="5"/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</w:pPr>
      <w:r w:rsidRPr="00E3608D"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  <w:t>Član 1.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Ovim pravilnikom propisuju se sadržina i forma obrazaca finansijskih izveštaja i sadržina pozicija u obrascima Bilans stanja, Bilans uspeha i Napomene uz finansijske izveštaje za druga pravna lica iz člana 2. tačka 2) Zakona o računovodstvu („Službeni glasnik RS”, broj 73/19 – u daljem tekstu: Zakon).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Ovim pravilnikom propisuju se i sadržina i forma obrasca Statističkog izveštaja za druga pravna lica.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Druga pravna lica koja odluče da primenjuju Međunarodni standard finansijskog izveštavanja za mala i srednja pravna lica (MSFI za MSP), odnosno Međunarodne standarde finansijskog izveštavanja (MSFI), u skladu sa članom 26. stav 2. Zakona, primenjuju pravilnik kojim se uređuje sadržina i forma obrazaca finansijskih izveštaja za privredna društva, zadruge i preduzetnike i sadržina i forma obrasca Statističkog izveštaja za privredna društva, zadruge i preduzetnike.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Druga pravna lica koja, u skladu sa Zakonom, imaju obavezu sastavljanja konsolidovanih finansijskih izveštaja, primenjuju pravilnik kojim se uređuje sadržina i forma obrazaca finansijskih izveštaja za privredna društva, zadruge i preduzetnike i sadržina i forma obrasca Statističkog izveštaja za privredna društva, zadruge i preduzetnike.</w:t>
      </w:r>
    </w:p>
    <w:p w:rsidR="00E3608D" w:rsidRPr="00E3608D" w:rsidRDefault="00E3608D" w:rsidP="00E3608D">
      <w:pPr>
        <w:shd w:val="clear" w:color="auto" w:fill="FFFFFF"/>
        <w:spacing w:after="120" w:line="240" w:lineRule="auto"/>
        <w:textAlignment w:val="baseline"/>
        <w:outlineLvl w:val="5"/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</w:pPr>
      <w:r w:rsidRPr="00E3608D"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  <w:t>Član 2.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lastRenderedPageBreak/>
        <w:t>Obrasci Bilans stanja – Prilog 1, Bilans uspeha – Prilog 2 i Statistički izveštaj – Prilog 3 odštampani su uz ovaj pravilnik i čine njegov sastavni deo.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U pogledu sadržine pojedinih grupa računa i računa u obrascima iz stava 1. ovog člana, postupa se prema odredbama pravilnika kojim se uređuje kontni okvir i sadržina računa u kontnom okviru za druga pravna lica.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U obrasce iz stava 1. ovog člana iznosi se upisuju u hiljadama dinara, osim broja zaposlenih i volontera koji se u Statističkom izveštaju iskazuju u celom broju.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U obrasce iz stava 1. ovog člana podaci se unose za tekući i za prethodni izveštajni period (poslovnu godinu). Za svaku stavku Bilansa stanja i Bilansa uspeha iskazuje se iznos za izveštajni period na koji se odnose Bilans stanja i Bilans uspeha, kao i iznos koji se odnosi na odgovarajuću stavku za prethodni izveštajni period. U slučaju kada ti iznosi nisu uporedivi i nije ih moguće učiniti uporedivim, obrazloženje za neuporedivost se obelodanjuje u Napomenama uz finansijske izveštaje.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U slučaju kada se imovina ili obaveze odnose na više od jedne stavke iz obrasca, njen odnos sa ostalim stavkama obelodanjuje se u Napomenama uz finansijske izveštaje.</w:t>
      </w:r>
    </w:p>
    <w:p w:rsidR="00E3608D" w:rsidRPr="00E3608D" w:rsidRDefault="00E3608D" w:rsidP="00E3608D">
      <w:pPr>
        <w:shd w:val="clear" w:color="auto" w:fill="FFFFFF"/>
        <w:spacing w:after="120" w:line="240" w:lineRule="auto"/>
        <w:textAlignment w:val="baseline"/>
        <w:outlineLvl w:val="5"/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</w:pPr>
      <w:r w:rsidRPr="00E3608D"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  <w:t>Član 3.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U statusnoj promeni vanredne finansijske izveštaje sastavlja pravno lice koje je prestalo da postoji.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Drugo pravno lice koje je u toku izveštajne godine imalo statusnu promenu i kao rezultat te statusne promene to drugo pravno lice je prestalo da postoji, ili je nad njim otvoren postupak stečaja, odnosno likvidacije, u redovnim godišnjim finansijskim izveštajima, u koloni za tekuću poslovnu godinu, prikazuje podatke o poslovanju za ceo izveštajni period.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Na svim obrascima finansijskih izveštaja drugog pravnog lica stavlja se naznaka „statusna promena”, „stečaj” ili „likvidacija”.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Drugo pravno lice koje je, u skladu sa Zakonom, obavezno da sastavlja i dostavlja Napomene uz finansijske izveštaje, u Napomenama uz redovne godišnje finansijske izveštaje za godinu u kojoj je imalo statusnu promenu obelodanjuje informacije o učesnicima i vrsti statusne promene.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Drugo pravno lice koje je nastalo osnivanjem posle statusne promene, prikazuje podatke kao novoosnovani obveznik iz člana 4. ovog pravilnika, s tim što na obrascima finansijskih izveštaja stavlja naznaku „novo osnivanje”.</w:t>
      </w:r>
    </w:p>
    <w:p w:rsidR="00E3608D" w:rsidRPr="00E3608D" w:rsidRDefault="00E3608D" w:rsidP="00E3608D">
      <w:pPr>
        <w:shd w:val="clear" w:color="auto" w:fill="FFFFFF"/>
        <w:spacing w:after="120" w:line="240" w:lineRule="auto"/>
        <w:textAlignment w:val="baseline"/>
        <w:outlineLvl w:val="5"/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</w:pPr>
      <w:r w:rsidRPr="00E3608D"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  <w:t>Član 4.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Novoosnovano drugo pravno lice prikazuje podatke o poslovanju u izveštajnoj poslovnoj godini u periodu koji je kraći od kalendarske godine ili je najviše jednak kalendarskoj godini, ali ne prikazuje stanje na dan 1. januara izveštajne poslovne godine, kao ni poslovanje u prethodnoj poslovnoj godini. Na svim propisanim obrascima finansijskih izveštaja drugo pravno lice stavlja naznaku „novoosnovani”.</w:t>
      </w:r>
    </w:p>
    <w:p w:rsidR="00E3608D" w:rsidRPr="00E3608D" w:rsidRDefault="00E3608D" w:rsidP="00E3608D">
      <w:pPr>
        <w:shd w:val="clear" w:color="auto" w:fill="FFFFFF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b/>
          <w:bCs/>
          <w:color w:val="D23232"/>
          <w:sz w:val="33"/>
          <w:szCs w:val="33"/>
        </w:rPr>
      </w:pPr>
      <w:r w:rsidRPr="00E3608D">
        <w:rPr>
          <w:rFonts w:ascii="inherit" w:eastAsia="Times New Roman" w:hAnsi="inherit" w:cs="Helvetica"/>
          <w:b/>
          <w:bCs/>
          <w:color w:val="D23232"/>
          <w:sz w:val="33"/>
          <w:szCs w:val="33"/>
          <w:bdr w:val="none" w:sz="0" w:space="0" w:color="auto" w:frame="1"/>
        </w:rPr>
        <w:t>II. SADRŽINA POZICIJA U OBRASCU BILANS STANJA</w:t>
      </w:r>
    </w:p>
    <w:p w:rsidR="00E3608D" w:rsidRPr="00E3608D" w:rsidRDefault="00E3608D" w:rsidP="00E3608D">
      <w:pPr>
        <w:shd w:val="clear" w:color="auto" w:fill="FFFFFF"/>
        <w:spacing w:after="120" w:line="240" w:lineRule="auto"/>
        <w:textAlignment w:val="baseline"/>
        <w:outlineLvl w:val="5"/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</w:pPr>
      <w:r w:rsidRPr="00E3608D"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  <w:t>Član 5.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U obrascu Bilans stanja – Prilog 1 druga pravna lica iskazuju podatke u kolonama 5, 6 i 7 na svim pozicijama označenim slovnim oznakama, rimskim i arapskim brojevima prema sadržini grupa računa i računa označenih u koloni 1 tog obrasca.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U obrascu Bilansu stanja u koloni 5 iskazuju se podaci na kraju tekućeg izveštajnog perioda, u koloni 6 podaci na kraju prethodnog izveštajnog perioda (koji je isti kao početak tekućeg izveštajnog perioda) i u koloni 7 podaci na početku najranijeg uporednog izveštajnog perioda (početno stanje prethodnog izveštajnog perioda). Podaci u koloni 7 iskazuju se samo u slučaju retrospektivne primene promenjene ili nove računovodstvene politike ili retrospektivnog preračunavanja stavki u finansijskim izveštajima ili kada se reklasifikuju stavke u finansijskim izveštajima.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Podaci u obrascu Bilans stanja iskazuju se u neto iznosu (po sadašnjoj vrednosti na datum bilansa), tako što se bruto iznosi iskazani na osnovnim računima glavne knjige, koriguju za iznose ispravke vrednosti i obezvređenja koji su iskazani na pripadajućim korektivnim računima osnovnih računa na datum bilansa.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Za izveštajni period za koji se sastavlja finansijski izveštaj, podaci se unose u kolonu 5 aktive i u kolonu 5 pasive.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Ako su podaci iz prethodnog izveštajnog perioda korigovani u skladu sa propisima, u kolone 6 i 7 aktive i kolone 6 i 7 pasive prethodnog izveštajnog perioda unose se tako korigovani podaci.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Pri izradi godišnjeg finansijskog izveštaja, kao i pri nastanku statusne promene, otvaranja, odnosno zaključenja postupka likvidacije ili postupka stečaja pod oznakom AOP 0001 do 0025 u aktivi i AOP 0401 do 0428 u pasivi, unose se podaci sa odgovarajućih grupa računa i računa označenih u koloni 1 ovog obrasca.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Druga pravna lica razvrstana, u skladu sa Zakonom, u mikro pravna lica, u obrascu Bilans stanja iskazuju skraćeni obim podataka samo na pozicijama koje su označene slovnim oznakama i rimskim brojevima.</w:t>
      </w:r>
    </w:p>
    <w:p w:rsidR="00E3608D" w:rsidRPr="00E3608D" w:rsidRDefault="00E3608D" w:rsidP="00E3608D">
      <w:pPr>
        <w:shd w:val="clear" w:color="auto" w:fill="FFFFFF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b/>
          <w:bCs/>
          <w:color w:val="D23232"/>
          <w:sz w:val="33"/>
          <w:szCs w:val="33"/>
        </w:rPr>
      </w:pPr>
      <w:r w:rsidRPr="00E3608D">
        <w:rPr>
          <w:rFonts w:ascii="inherit" w:eastAsia="Times New Roman" w:hAnsi="inherit" w:cs="Helvetica"/>
          <w:b/>
          <w:bCs/>
          <w:color w:val="D23232"/>
          <w:sz w:val="33"/>
          <w:szCs w:val="33"/>
          <w:bdr w:val="none" w:sz="0" w:space="0" w:color="auto" w:frame="1"/>
        </w:rPr>
        <w:t>III. SADRŽINA POZICIJA U OBRASCU BILANS USPEHA</w:t>
      </w:r>
    </w:p>
    <w:p w:rsidR="00E3608D" w:rsidRPr="00E3608D" w:rsidRDefault="00E3608D" w:rsidP="00E3608D">
      <w:pPr>
        <w:shd w:val="clear" w:color="auto" w:fill="FFFFFF"/>
        <w:spacing w:after="120" w:line="240" w:lineRule="auto"/>
        <w:textAlignment w:val="baseline"/>
        <w:outlineLvl w:val="5"/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</w:pPr>
      <w:r w:rsidRPr="00E3608D"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  <w:t>Član 6.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U obrascu Bilans uspeha – Prilog 2 druga pravna lica iskazuju podatke u kolonama 5 i 6, na svim pozicijama označenim slovnim oznakama i rimskim brojevima prema sadržini grupa računa i računa po pojedinim pozicijama (AOP) tog obrasca.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U obrazac Bilans uspeha pri izradi godišnjeg finansijskog izveštaja, kao i pri nastanku statusne promene, otvaranja, odnosno zaključenja postupka likvidacije ili postupka stečaja unose se sledeći podaci: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1) poslovni prihodi i poslovni rashodi – podaci se unose pod oznakama AOP 1001 do 1018;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2) poslovni dobitak i poslovni gubitak – podaci se unose pod oznakama AOP 1019, odnosno AOP 1020;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3) finansijski prihodi i finansijski rashodi – podaci se unose pod oznakama AOP 1021 do AOP 1031;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4) dobitak iz finansiranja i gubitak iz finansiranja – podaci se unose pod oznakama AOP 1032, odnosno AOP 1033;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5) prihodi i rashodi od usklađivanja vrednosti kratkoročnih i dugoročnih finansijskih plasmana i potraživanja – podaci se unose pod oznakama AOP 1034 i AOP 1035;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6) ostali prihodi i ostali rashodi – podaci se unose pod oznakama AOP 1036 i AOP 1037;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7) ukupni prihodi i ukupni rashodi – podaci se unose pod oznakama AOP 1038 i AOP 1039;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8) višak prihoda nad rashodima, odnosno višak rashoda nad prihodima iz redovnog poslovanja pre oporezivanja – podaci se unose na oznakama AOP 1040 i 1041;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9) višak prihoda nad rashodima, odnosno višak rashoda nad prihodima po osnovu efekata promena računovodstvenih politika i ispravki grešaka ranijih perioda – podaci se unose na oznakama AOP 1042 i 1043;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10) višak prihoda nad rashodima, odnosno višak rashoda nad prihodima pre oporezivanja – podaci se unose na AOP oznakama 1044 i 1045;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11) poreski rashodi perioda – podaci se unose na AOP 1046;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12) neto višak prihoda nad rashodima, odnosno neto višak rashoda nad prihodima – podaci se unose na oznakama AOP 1047 i 1048.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Podaci se sa odgovarajućih računa označenih u koloni 1 unose tako što se u kolonu 6 (prethodni izveštajni period) unose podaci iz prethodnog izveštajnog perioda (ili dela tog perioda), reklasifikovani u skladu sa strukturom podataka za tekući izveštajni period, dok se za tekući izveštajni period, u kolonu 5, podaci unose sa računa na kraju izveštajnog perioda za koji se obračun sastavlja.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Ako su podaci prethodnog izveštajnog perioda korigovani u skladu sa propisima, u kolonu 6 unose se tako korigovani podaci.</w:t>
      </w:r>
    </w:p>
    <w:p w:rsidR="00E3608D" w:rsidRPr="00E3608D" w:rsidRDefault="00E3608D" w:rsidP="00E3608D">
      <w:pPr>
        <w:shd w:val="clear" w:color="auto" w:fill="FFFFFF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b/>
          <w:bCs/>
          <w:color w:val="D23232"/>
          <w:sz w:val="33"/>
          <w:szCs w:val="33"/>
        </w:rPr>
      </w:pPr>
      <w:r w:rsidRPr="00E3608D">
        <w:rPr>
          <w:rFonts w:ascii="inherit" w:eastAsia="Times New Roman" w:hAnsi="inherit" w:cs="Helvetica"/>
          <w:b/>
          <w:bCs/>
          <w:color w:val="D23232"/>
          <w:sz w:val="33"/>
          <w:szCs w:val="33"/>
          <w:bdr w:val="none" w:sz="0" w:space="0" w:color="auto" w:frame="1"/>
        </w:rPr>
        <w:t>IV. NAPOMENE UZ FINANSIJSKE IZVEŠTAJE</w:t>
      </w:r>
    </w:p>
    <w:p w:rsidR="00E3608D" w:rsidRPr="00E3608D" w:rsidRDefault="00E3608D" w:rsidP="00E3608D">
      <w:pPr>
        <w:shd w:val="clear" w:color="auto" w:fill="FFFFFF"/>
        <w:spacing w:after="120" w:line="240" w:lineRule="auto"/>
        <w:textAlignment w:val="baseline"/>
        <w:outlineLvl w:val="5"/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</w:pPr>
      <w:r w:rsidRPr="00E3608D"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  <w:t>Član 7.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Napomene uz finansijske izveštaje sadrže opise i/ili detaljnije raščlanjavanje iznosa prikazanih u obrascima Bilansa stanja i Bilansa uspeha i dodatne informacije koje nisu prikazane u navedenim finansijskim izveštajima, a zahtevaju se u skladu sa pravilnikom kojim se reguliše način priznavanja, vrednovanja, prezentacije i obelodanjivanja pozicija u finansijskim izveštajima mikro i drugih pravnih lica ili ovim pravilnikom.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Ukoliko se neka informacija u Napomenama uz finansijske izveštaje obelodanjuje kao rezultat zahteva ovog pravilnika, a isti takav zahtev postoji i u pravilniku kojim se reguliše način priznavanja, vrednovanja, prezentacije i obelodanjivanja pozicija u finansijskim izveštajima mikro i drugih pravnih lica, drugo pravno lice ne iskazuje ponovo takvu informaciju, odnosno informacija se obelodanjuje samo jednom.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Obelodanjivanja u Napomenama uz finansijske izveštaje se numerišu i u obrascima iz stava 1. ovog člana se navodi redni broj pod kojim je informacija napisana u Napomenama uz finansijske izveštaje. Za prikazivanje rednog broja Napomena uz finansijske izveštaje koriste se arapski brojevi, prema redosledu prikazivanja podataka u finansijskom izveštaju, i to maksimalno 50 karaktera koji se unose u obrasce finansijskog izveštaja.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U Napomenama uz finansijske izveštaje svi obveznici primene ovog pravilnika, koji su u skladu sa Zakonom obavezni da sastavljaju i dostavljaju Napomene uz finansijske izveštaje, obelodanjuju sledeće informacije: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1) opšte informacije o pravnom licu, odnosno preduzetniku (sedište, pravna forma, opis prirode poslovanja i glavnih aktivnosti, naziv matičnog pravnog lica i krajnjeg vlasnika matičnog pravnog lica, podatak o prosečnom broju zaposlenih u toku izveštajnog perioda, na bazi stanja krajem svakog meseca);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2) informaciju o usaglašenosti sa nacionalnim propisima;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3) informaciju o korekciji početnog stanja po osnovu greške i promena računovodstvenih politika;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4) informaciju o primenjenim osnovama za vrednovanje pozicija prilikom izrade finansijskog izveštaja;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5) informaciju o računovodstvenim politikama, koje su odabrane i primenjene na značajne poslovne promene i događaje;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6) za osnovna sredstva vrednovana primenom modela revalorizacije: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(1) promene revalorizacione rezerve u izveštajnom periodu, uz objašnjenje poreskog tretmana sadržanih stavki; i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(2) knjigovodstvenu vrednost u Bilansu stanja koja bi se priznala da osnovna sredstva nisu bila revalorizovana;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7) za finansijske instrumente i ostalu imovinu koji se naknadno vrednuju po fer vrednosti: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(1) značajne pretpostavke koje su služile kao osnova za načine i tehnike vrednovanja u slučaju kada su fer vrednosti određene nekom od dozvoljenih metoda procene;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(2) za svaku kategoriju finansijskih instrumenata ili imovine koja nije finansijski instrument, fer vrednost, promene vrednosti koje su direktno uključene u Bilans uspeha, kao i promene uključene u nerealizovane dobitke ili gubitke u okviru kapitala;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(3) za svaku kategoriju derivatnih finansijskih instrumenata podatak o visini i prirodi instrumenata, uključujući značajne rokove i uslove koji mogu uticati na iznos, vreme i sigurnost budućih novčanih tokova; i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(4) tabelu koja prikazuje kretanja revalorizacionih rezervi i nerealizovanih dobitaka i gubitaka tokom izveštajnog perioda, odnosno stanje na početku i na kraju perioda;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8) informacije o stavkama koje nisu prikazane u izveštajima iz stava 1. ovog člana, a značajne su za ocenu finansijskog položaja i uspešnosti poslovanja pravnog lica, odnosno preduzetnika uključujući i ukupan iznos svih finansijskih obaveza, garancija ili nepredviđenih izdataka koji nisu uključeni u Bilans stanja, kao i naznaku prirode i oblika svih datih materijalno značajnih garancija (obaveze koje se odnose na penzije i povezana pravna lica ili pravna lica povezana udelom obelodanjuju se odvojeno od drugih obaveza iste prirode);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9) iznos zajmova datih zaposlenima, članovima organa upravljanja i nadzora, sa naznakama kamatnih stopa i uslova i svih otplaćenih i otpisanih iznosa, kao i obaveza prema zaposlenima utvrđenih internim aktom u njihovu korist, naznakom ukupnog iznosa za svaku kategoriju obaveza;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10) iznos i prirodu pojedinih stavki prihoda ili rashoda koji su po svom iznosu i prirodi materijalno značajni sa odvojenim iskazivanjem tih stavki ostvarenih iz odnosa sa povezanim licima; i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11) iznose obaveza koje dospevaju nakon više od pet godina, kao i ukupna dugovanja u vezi sa garancijama (zalogama, hipotekama) koje je pravno lice, odnosno preduzetnik dalo uz naznaku prirode i oblika garancija.</w:t>
      </w:r>
    </w:p>
    <w:p w:rsidR="00E3608D" w:rsidRPr="00E3608D" w:rsidRDefault="00E3608D" w:rsidP="00E3608D">
      <w:pPr>
        <w:shd w:val="clear" w:color="auto" w:fill="FFFFFF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b/>
          <w:bCs/>
          <w:color w:val="D23232"/>
          <w:sz w:val="33"/>
          <w:szCs w:val="33"/>
        </w:rPr>
      </w:pPr>
      <w:r w:rsidRPr="00E3608D">
        <w:rPr>
          <w:rFonts w:ascii="inherit" w:eastAsia="Times New Roman" w:hAnsi="inherit" w:cs="Helvetica"/>
          <w:b/>
          <w:bCs/>
          <w:color w:val="D23232"/>
          <w:sz w:val="33"/>
          <w:szCs w:val="33"/>
          <w:bdr w:val="none" w:sz="0" w:space="0" w:color="auto" w:frame="1"/>
        </w:rPr>
        <w:t>V. SADRŽAJ STATISTIČKOG IZVEŠTAJA</w:t>
      </w:r>
    </w:p>
    <w:p w:rsidR="00E3608D" w:rsidRPr="00E3608D" w:rsidRDefault="00E3608D" w:rsidP="00E3608D">
      <w:pPr>
        <w:shd w:val="clear" w:color="auto" w:fill="FFFFFF"/>
        <w:spacing w:after="120" w:line="240" w:lineRule="auto"/>
        <w:textAlignment w:val="baseline"/>
        <w:outlineLvl w:val="5"/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</w:pPr>
      <w:r w:rsidRPr="00E3608D"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  <w:t>Član 8.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U obrascu Statistički izveštaj – Prilog 3 druga pravna lica unose podatke u sve tabele od I do IX.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Podaci u obrascu Statistički izveštaj se unose u sve predviđene kolone prema sadržini grupa računa i računa označenih u tabeli.</w:t>
      </w:r>
    </w:p>
    <w:p w:rsidR="00E3608D" w:rsidRPr="00E3608D" w:rsidRDefault="00E3608D" w:rsidP="00E3608D">
      <w:pPr>
        <w:shd w:val="clear" w:color="auto" w:fill="FFFFFF"/>
        <w:spacing w:after="120" w:line="240" w:lineRule="auto"/>
        <w:textAlignment w:val="baseline"/>
        <w:outlineLvl w:val="5"/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</w:pPr>
      <w:r w:rsidRPr="00E3608D"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  <w:t>Član 9.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U tabelu I – OPŠTI PODACI O DRUGOM PRAVNOM LICU, pod oznakom AOP 9001 – Broj meseci poslovanja, unosi se broj meseci poslovanja u izveštajnoj godini, kao ceo broj u intervalu od 1 do 12. Novoosnovano drugo pravno lice ne popunjava kolonu 4.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9002 – Oznaka za vlasništvo, unosi se statistička oznaka za vlasništvo prema sledećem: 1 za društveno, 2 za privatno, 3 za zadružno, 4 za mešovito (dva ili više oblika vlasništva) i 5 za državno vlasništvo.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9003 – Broj stranih (pravnih ili fizičkih) lica koja imaju uloge, unosi se broj pravnih ili fizičkih lica sa sedištem u inostranstvu koja imaju uloge u drugom pravnom licu.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9004 – Prosečan broj zaposlenih na osnovu stanja krajem svakog meseca, u kolonu 3 unosi se podatak utvrđen kao godišnji prosek brojčanog stanja zaposlenih na kraju svakog meseca u izveštajnoj godini, a u kolonu 4 broj zaposlenih u prethodnoj godini utvrđen na isti način. Godišnji prosek predstavlja zbir zaposlenih na kraju svakog meseca u toku obračunskog perioda, podeljen brojem meseci poslovanja. Broj zaposlenih iskazuje se kao ceo broj, bez decimala.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9005 – Prosečan broj zaposlenih preko agencija i organizacija za zapošljavanje (omladinske i studentske zadruge) na osnovu stanja krajem svakog meseca, u kolonu 3 unosi se podatak utvrđen kao prosek brojčanog stanja zaposlenih na kraju svakog meseca u izveštajnoj godini, a u kolonu 4 broj zaposlenih u prethodnoj godini utvrđen na isti način. Godišnji prosek predstavlja zbir zaposlenih na kraju svakog meseca u toku obračunskog perioda, podeljen brojem meseci poslovanja. Broj zaposlenih iskazuje se kao ceo broj, bez decimala.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9006 – Prosečan broj volontera na osnovu stanja krajem svakog meseca (ceo broj), u kolonu 3 unosi se podatak utvrđen kao prosek brojčanog stanja volontera na kraju svakog meseca u izveštajnoj godini, a u kolonu 4 broj volontera u prethodnoj godini utvrđen na isti način. Godišnji prosek predstavlja zbir volontera na kraju svakog meseca u toku obračunskog perioda, podeljen brojem meseci poslovanja. Broj volontera iskazuje se kao ceo broj, bez decimala.</w:t>
      </w:r>
    </w:p>
    <w:p w:rsidR="00E3608D" w:rsidRPr="00E3608D" w:rsidRDefault="00E3608D" w:rsidP="00E3608D">
      <w:pPr>
        <w:shd w:val="clear" w:color="auto" w:fill="FFFFFF"/>
        <w:spacing w:after="120" w:line="240" w:lineRule="auto"/>
        <w:textAlignment w:val="baseline"/>
        <w:outlineLvl w:val="5"/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</w:pPr>
      <w:r w:rsidRPr="00E3608D"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  <w:t>Član 10.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U tabelu II – BRUTO PROMENE NEMATERIJALNE IMOVINE I NEKRETNINA, POSTROJENJA, OPREME I BIOLOŠKIH SREDSTAVA, pod oznakama AOP 9007 do 9036 unose se podaci sa odgovarajuće grupe računa 01, 02 i 03, i to: stanje na početku godine, promene u toku godine (nabavke, povećanja, smanjenja i revalorizacije), amortizacija i obezvređenje, i stanje na kraju godine, tako što se u kolonu 4 unose bruto vrednosti, u kolonu 5 ispravka vrednosti, a u kolonu 6 neto vrednosti. Podaci uneti u kolonu 6 (neto vrednosti) odgovaraju podacima iz Bilansa stanja, i to: za oznaku AOP 9007 kolona 6 = AOP 0002 kolona 6, AOP 9014 kolona 6 = AOP 0002 kolona 5, AOP 9015 i AOP 9022 kolona 6 = AOP 0003 kolona 6, AOP 9021 i AOP 9029 kolona 6 = AOP 0003 kolona 5, AOP 9030 kolona 6 = AOP 0009 kolona 6, AOP 9036 kolona 6 = AOP 0009 kolona 5.</w:t>
      </w:r>
    </w:p>
    <w:p w:rsidR="00E3608D" w:rsidRPr="00E3608D" w:rsidRDefault="00E3608D" w:rsidP="00E3608D">
      <w:pPr>
        <w:shd w:val="clear" w:color="auto" w:fill="FFFFFF"/>
        <w:spacing w:after="120" w:line="240" w:lineRule="auto"/>
        <w:textAlignment w:val="baseline"/>
        <w:outlineLvl w:val="5"/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</w:pPr>
      <w:r w:rsidRPr="00E3608D"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  <w:t>Član 11.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U tabelu III – STRUKTURA ZALIHA, pod oznakama AOP 9037 do 9041 unose se podaci sa odgovarajućih grupa računa 10, 11, 12, 13 i 15. Pod oznakom AOP 9042 – Svega, unosi se iznos ukupnih zaliha koji odgovara podacima unetim u Bilans stanja pod oznakom AOP 0014, kolona 5 za tekuću, odnosno kolona 6 za prethodnu godinu.</w:t>
      </w:r>
    </w:p>
    <w:p w:rsidR="00E3608D" w:rsidRPr="00E3608D" w:rsidRDefault="00E3608D" w:rsidP="00E3608D">
      <w:pPr>
        <w:shd w:val="clear" w:color="auto" w:fill="FFFFFF"/>
        <w:spacing w:after="120" w:line="240" w:lineRule="auto"/>
        <w:textAlignment w:val="baseline"/>
        <w:outlineLvl w:val="5"/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</w:pPr>
      <w:r w:rsidRPr="00E3608D"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  <w:t>Član 12.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U tabelu IV – OBAVEZE, unose se podaci u kolone 4 i 5 prema sadržini računa označenih u koloni 1.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9043 – Obaveze iz poslovanja, unosi se potražni promet bez početnog stanja, odnosno povećanja u toku godine odgovarajućeg računa grupe 43.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oznakama AOP 9044 do 9046 – Obaveze za neto zarade i naknade zarada, porez i doprinose na zarade i naknade zarada, unosi se ukupan godišnji iznos prema obračunu zarada – povećanje u toku godine (potražni promet bez početnog stanja) sa računa 450, 451 i 452.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9047 – Obaveze prema fizičkim licima za naknade po ugovorima, unosi se povećanje u toku godine (potražni promet bez početnog stanja) obaveza za naknade fizičkim licima po osnovu ugovora o delu, autorstvu, privremenim i povremenim poslovima, zastupanju i posredovanju, dopunskom radu i drugih ugovora uz naknadu.</w:t>
      </w:r>
    </w:p>
    <w:p w:rsidR="00E3608D" w:rsidRPr="00E3608D" w:rsidRDefault="00E3608D" w:rsidP="00E3608D">
      <w:pPr>
        <w:shd w:val="clear" w:color="auto" w:fill="FFFFFF"/>
        <w:spacing w:after="120" w:line="240" w:lineRule="auto"/>
        <w:textAlignment w:val="baseline"/>
        <w:outlineLvl w:val="5"/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</w:pPr>
      <w:r w:rsidRPr="00E3608D"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  <w:t>Član 13.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U tabelu V – DRUGI TROŠKOVI I RASHODI, unose se podaci u kolone 4 i 5 prema sadržini računa označenih u koloni 1.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9049 – Troškovi goriva i energije, unose se podaci sa računa 512.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9050 – Troškovi zarada i naknada zarada (bruto), unose se podaci sa računa 520.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9051 – Troškovi poreza i doprinosa na zarade i naknade zarada na teret poslodavca, unose se podaci sa računa 521.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9052 – Troškovi naknada fizičkim licima (bruto) po osnovu ugovora, unosi se zbir stanja na računima 522 – Troškovi naknada po ugovoru o delu, 523 – Troškovi naknada po autorskim ugovorima i 525 – Troškovi naknada fizičkim licima po osnovu ostalih ugovora.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9053 – Troškovi naknada po ugovoru o povremenim i privremenim poslovima zaključenim sa fizičkim licima unosi se stanje sa računa 524.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9054 – Troškovi naknada direktoru, odnosno članovima organa upravljanja i nadzora unosi se odgovarajuće stanje sa računa 526.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9055 – Troškovi angažovanja zaposlenih preko agencija i zadruga, unosi se podatak sa računa 528.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9056 – Naknade troškova zaposlenima, unosi se deo stanja sa računa 529, proknjižen na računima otvorenim u okviru računa 529.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9057 – Ostala davanja zaposlenima i lična primanja koja se ne smatraju zaradom, otpremnine, jubilarne nagrade, pomoć zaposlenom, stipendije i dr. unosi se deo stanja sa računa 529, proknjižen na računima otvorenim u okviru ovog računa koji se koriste za ove namene.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9058 – Naknade troškova i druga davanja poslodavcima i drugim fizičkim licima koja nisu zaposlena unosi se deo stanja sa računa 529, odnosno odgovarajućeg računa otvorenog u okviru računa 529 na kojem se knjiže izdaci za ove svrhe.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9059 – Troškovi zakupnina, unosi se godišnji iznos zakupnina po osnovu ugovora o zakupu osnovnih sredstava: opreme, poslovnog, skladišnog, kancelarijskog i drugog prostora, zemljišta i sl, bez obzira na to da li je zakupodavac pravno ili fizičko lice. Ova pozicija odgovara zbiru konačnog stanja računa 533 – Troškovi zakupnina, analitičkog računa u okviru računa 525 na kojem se knjiže troškovi naknada fizičkim licima po osnovu drugih ugovora (ugovora o zakupu kada je zakupodavac fizičko lice i dr.) i dela računa grupe 54, prema godišnjem zaključku poslovnih knjiga.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9060 – Troškovi zakupnina zemljišta, unosi se godišnji iznos zakupnine za zemljište uzeto u zakup prema ugovoru o zakupu. Ova pozicija odgovara zbiru konačnog stanja analitičkog računa u okviru računa 533 na kojem se knjiži zakupnina zemljišta pravnih lica i preduzetnika, analitičkog računa u okviru računa 525 na kojem se knjiže troškovi naknada fizičkim licima po osnovu drugih ugovora (ugovora o zakupu kada je zakupodavac fizičko lice i dr.) i dela računa grupe 54 u delu koji se odnosi na zakup zemljišta, prema godišnjem zaključku poslovnih knjiga.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9067 – Troškovi donacija, iskazuju se troškovi datih donacija (po osnovu davanja za zdravstvene, obrazovne, naučne, verske i sportske namene, kulturu i kinematografiju, zaštitu životne sredine, humanitarnu pomoć, odnosno otklanjanje posledica nastalih u slučaju vanredne situacije, kao i davanja učinjena ustanovama, odnosno pružaocima usluga socijalne zaštite osnovanim u skladu sa zakonom koji uređuje socijalnu zaštitu i dr.).</w:t>
      </w:r>
    </w:p>
    <w:p w:rsidR="00E3608D" w:rsidRPr="00E3608D" w:rsidRDefault="00E3608D" w:rsidP="00E3608D">
      <w:pPr>
        <w:shd w:val="clear" w:color="auto" w:fill="FFFFFF"/>
        <w:spacing w:after="120" w:line="240" w:lineRule="auto"/>
        <w:textAlignment w:val="baseline"/>
        <w:outlineLvl w:val="5"/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</w:pPr>
      <w:r w:rsidRPr="00E3608D"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  <w:t>Član 14.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U tabelu VI – RASHODI KAMATA unose se podaci u kolone 4 i 5 prema sadržini računa označenih u koloni 1.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9069 do AOP 9074 unose se podaci o kamatama po kreditima i zajmovima od poslovnih banaka, kamatama po osnovu finansijskog lizinga, kamatama po osnovu zajmova od drugih nebankarskih subjekata i zajmodavaca, kamatama po osnovu hartija od vrednosti i zateznim kamata; unosi se godišnji izdatak za navedene svrhe proknjižen na računima otvorenim u okviru dela grupe računa 56.</w:t>
      </w:r>
    </w:p>
    <w:p w:rsidR="00E3608D" w:rsidRPr="00E3608D" w:rsidRDefault="00E3608D" w:rsidP="00E3608D">
      <w:pPr>
        <w:shd w:val="clear" w:color="auto" w:fill="FFFFFF"/>
        <w:spacing w:after="120" w:line="240" w:lineRule="auto"/>
        <w:textAlignment w:val="baseline"/>
        <w:outlineLvl w:val="5"/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</w:pPr>
      <w:r w:rsidRPr="00E3608D"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  <w:t>Član 15.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U tabelu VII – DRUGI PRIHODI unose se podaci u kolone 4 i 5 prema sadržini računa označenih u koloni 1.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9076 – Prihodi od donacija, dotacija, subvencija i sl. iz republičkog budžeta, unosi se deo stanja sa računa 640.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9077 – Prihodi od donacija, dotacija, subvencija i sl. iz budžeta autonomne pokrajine, unosi se deo stanja sa računa 641.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9078 – Prihodi od donacija, dotacija, subvencija i sl. iz budžeta lokalne samouprave, unosi se deo stanja sa računa 641.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9079 – Prihodi od donacija, dotacija i sl. od inostranih vlada i međunarodnih organizacija, unose se podaci sa računa 642.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9080 – Prihodi od donacija, dotacija i sl. od domaćih pivrednih društava, preduzetnika i drugih pravnih lica, unose se podaci sa računa 643.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9081 – Prihodi od donacija, dotacija i sl. od domaćih javnih preduzeća, unosi se deo stanja sa računa 643.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9082 – Prihodi od donacija, dotacija i sl. od fizičkih lica iz zemlje, unose se podaci sa dela računa 644.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9083 – Prihodi od donacija, dotacija i sl. od fizičkih lica iz inostranstva, unose se podaci sa dela računa 644.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9084 – Prihodi od donacija, dotacija i sl. od privatnih fondacija i pravnih lica (privredna društva, preduzetnici i sl.) iz inostranstva, unose se podaci sa računa 645.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9085 – Ostali prihodi od donacija, dotacija, subvencija i sl., unose se podaci sa računa 649.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9086 – Prihodi od zakupa za zemljište, unosi se deo stanja sa računa 651.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9087 – Prihodi od dividendi, iskazuju se podaci sa računa 664, kao i deo stanja sa računa 660.</w:t>
      </w:r>
    </w:p>
    <w:p w:rsidR="00E3608D" w:rsidRPr="00E3608D" w:rsidRDefault="00E3608D" w:rsidP="00E3608D">
      <w:pPr>
        <w:shd w:val="clear" w:color="auto" w:fill="FFFFFF"/>
        <w:spacing w:after="120" w:line="240" w:lineRule="auto"/>
        <w:textAlignment w:val="baseline"/>
        <w:outlineLvl w:val="5"/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</w:pPr>
      <w:r w:rsidRPr="00E3608D"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  <w:t>Član 16.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U tabelu VIII – PRIHODI OD KAMATA, unose se podaci u kolone 4 i 5 prema sadržini računa označenih u koloni 1.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9089 do AOP 9093 unose se prihodi od kamata po depozitima u bankama, kamate po osnovu datih zajmova, kamate po osnovu hartija od vrednosti i zatezne kamate proknjižene na računima otvorenim za ove svrhe u okviru računa 660 (deo) i 661.</w:t>
      </w:r>
    </w:p>
    <w:p w:rsidR="00E3608D" w:rsidRPr="00E3608D" w:rsidRDefault="00E3608D" w:rsidP="00E3608D">
      <w:pPr>
        <w:shd w:val="clear" w:color="auto" w:fill="FFFFFF"/>
        <w:spacing w:after="120" w:line="240" w:lineRule="auto"/>
        <w:textAlignment w:val="baseline"/>
        <w:outlineLvl w:val="5"/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</w:pPr>
      <w:r w:rsidRPr="00E3608D"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  <w:t>Član 17.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U tabelu IX – OSTALI PODACI, pod oznakom AOP 9095 – Obaveze za akcize (prema godišnjem obračunu akciza), unosi se ukupan godišnji iznos obračunatih akciza prema godišnjem obračunu i poreskoj prijavi.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9096 – Obračunate carine i druge uvozne dažbine, unosi se ukupan godišnji iznos obračunatih carina i drugih uvoznih dažbina prema carinskoj i drugoj dokumentaciji u vezi sa uvozom.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9097 – Kapitalne subvencije i druga državna dodeljivanja za izgradnju i nabavku osnovnih sredstava i nematerijalnih ulaganja, unose se državna dodeljivanja namenjena za izgradlju i nabavku osnovnih sredstava (poslovni prostor i zgrade, oprema, vozila i ostalo), primljena osnovna sredstva bez naknade, kao i državna pomoć za rekonstrukciju, modernizaciju i druga unapređenja osnovnih sredstava. Takođe, unosi se otpis dugova po osnovu poreza i doprinosa, kao i priliv sredstava u cilju pokrića gubitaka kumuliranih tokom više poslovnih godina. Obuhvata se i državna pomož u cilju nadoknade štete i pokrića gubitaka nastalih kao posledica prirodnih nepogoda i drugih vanrednih okolnosti (deo računa grupe 64 koji se odnosi na pomoć države i njenih organa i fondova). Na ovoj poziciji unosi se ukupan (bruto) iznos novoprimljenih sredstava u toku godine po onsovu državnih dodeljivanja za nabavku i izgradnju osnovnih sredstava i nematerijalnih ulaganja. Unosi se isključivo iznos novih državnih dodeljivanja primljenih u toku godine u bruto iznosu (u slučaju da je izvršeno vremensko razgraničenje primljenih državnih dodeljivanja preko računa 495, neophodno je prikazati ukupan (bruto) iznos primljenog dodeljivanja, odnosno donacije u toku godine, a ne godišnji deo koji se prenosi sa računa 495 na račune grupe 64). Ukidanje odloženih prihoda po osnovu dodeljivanja iz prethodnih godina se isključuje.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9098 – Državna dodeljivanja za premije, regres i pokriće tekućih troškova poslovanja, unose se državna dodeljivanja u vidu premija, regresa, dodeljivanja za pokriće tekućih troškova poslovanja i poslovnih gubitaka, odnosno samo ona dodeljivanja koja su neposredno vezana za proizvodnju proizvoda i usluga i koja se primaju po osnovu količine ili vrednosti ostvarene proizvodnje.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9099 – Ostala državna dodeljivanja, unose se svi prethodno nepomenuti vidovi državne pomoći u novcu ili naturi. Obuhvataju se primanja bez uslovljene namene i bez direktne veze sa proizvodnjom proizvoda i usluga, kao što su dotacije za novozaposlena lica, za zaštitu čovekove okoline i ugradnju odgovarajuće opreme, za istraživanje i razvoj, povraćaj poreskih dažbina po osnovu izvoza proizvoda i usluga i sl.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9100 – Primljene donacije iz inostranstva i druga bespovratna sredstva u novcu ili naturi od inostranih pravnih i fizičkih lica, unose se donacije i sva ostala bespovratna sredstva iz inostranstva primljena u toku godine u bruto iznosu (u novcu ili naturi). Obuhvataju se ne samo prihodi od uslovljenih donacija (deo računa grupe 64), već i donacije za koje ugovorom nije predviđen uslov niti namena i koje se knjiže u korist ostalih prihoda, kao i prihodi od naknada šteta od katastrofa i drugih nepredviđenih događaja (deo računa 679). Ukidanje odloženih prihoda po osnovu donacija iz prethodnih godina se isključuje.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9101 – Isplate gotovog novca iz blagajne (osim uplata na tekući račun), unose se sve isplate iz blagajne u izveštajnom periodu, osim prenosa novca iz blagajne na tekući račun.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9102 – Plaćeni porez na dodatu vrednost u izveštajnom periodu, unosi se ukupan iznos plaćenog poreza na dodatu vrednost u izveštajnom periodu.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Pod oznakom AOP 9103 – Pravo na oslobađanje od plaćanja poreza na dodatu vrednost, unosi se ukupan iznos ostvarenog prava na oslobađanje od plaćanja poreza na dodatu vrednost u izveštajnom periodu.</w:t>
      </w:r>
    </w:p>
    <w:p w:rsidR="00E3608D" w:rsidRPr="00E3608D" w:rsidRDefault="00E3608D" w:rsidP="00E3608D">
      <w:pPr>
        <w:shd w:val="clear" w:color="auto" w:fill="FFFFFF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b/>
          <w:bCs/>
          <w:color w:val="D23232"/>
          <w:sz w:val="33"/>
          <w:szCs w:val="33"/>
        </w:rPr>
      </w:pPr>
      <w:r w:rsidRPr="00E3608D">
        <w:rPr>
          <w:rFonts w:ascii="inherit" w:eastAsia="Times New Roman" w:hAnsi="inherit" w:cs="Helvetica"/>
          <w:b/>
          <w:bCs/>
          <w:color w:val="D23232"/>
          <w:sz w:val="33"/>
          <w:szCs w:val="33"/>
          <w:bdr w:val="none" w:sz="0" w:space="0" w:color="auto" w:frame="1"/>
        </w:rPr>
        <w:t>VI. PRELAZNE I ZAVRŠNE ODREDBE</w:t>
      </w:r>
    </w:p>
    <w:p w:rsidR="00E3608D" w:rsidRPr="00E3608D" w:rsidRDefault="00E3608D" w:rsidP="00E3608D">
      <w:pPr>
        <w:shd w:val="clear" w:color="auto" w:fill="FFFFFF"/>
        <w:spacing w:after="120" w:line="240" w:lineRule="auto"/>
        <w:textAlignment w:val="baseline"/>
        <w:outlineLvl w:val="5"/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</w:pPr>
      <w:r w:rsidRPr="00E3608D"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  <w:t>Član 18.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Odredbe ovog pravilnika primenjuju se počev od finansijskih izveštaja koji se sastavljaju na dan 31. decembra 2021. godine.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Danom početka primene ovog pravilnika prestaje da važi Pravilnik o sadržini i formi obrazaca finansijskih izveštaja za druga pravna lica („Službeni glasnik RS”, broj 137/14) i Pravilnik o obliku i sadržaju Statističkog izveštaja za druga pravna lica („Službeni glasnik RS”, broj 137/14).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Druga pravna lica koji imaju poslovnu godinu različitu od kalendarske, a koja se završava pre 31. decembra 2021. godine, kao i druga pravna lica koja sastavljaju vanredne finansijske izveštaje pre 31. decembra 2021. godine, za tu poslovnu godinu, odnosno za te vanredne finansijske izveštaje, primenjuju Pravilnik o sadržini i formi obrazaca finansijskih izveštaja za druga pravna lica („Službeni glasnik RS”, broj 137/14) i Pravilnik o obliku i sadržaju Statističkog izveštaja za druga pravna lica („Službeni glasnik RS”, broj 137/14).</w:t>
      </w:r>
    </w:p>
    <w:p w:rsidR="00E3608D" w:rsidRPr="00E3608D" w:rsidRDefault="00E3608D" w:rsidP="00E3608D">
      <w:pPr>
        <w:shd w:val="clear" w:color="auto" w:fill="FFFFFF"/>
        <w:spacing w:after="120" w:line="240" w:lineRule="auto"/>
        <w:textAlignment w:val="baseline"/>
        <w:outlineLvl w:val="5"/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</w:pPr>
      <w:r w:rsidRPr="00E3608D">
        <w:rPr>
          <w:rFonts w:ascii="Helvetica" w:eastAsia="Times New Roman" w:hAnsi="Helvetica" w:cs="Helvetica"/>
          <w:b/>
          <w:bCs/>
          <w:color w:val="D23232"/>
          <w:sz w:val="27"/>
          <w:szCs w:val="27"/>
        </w:rPr>
        <w:t>Član 19.</w:t>
      </w:r>
    </w:p>
    <w:p w:rsidR="00E3608D" w:rsidRPr="00E3608D" w:rsidRDefault="00E3608D" w:rsidP="00E3608D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color w:val="333333"/>
          <w:sz w:val="27"/>
          <w:szCs w:val="27"/>
        </w:rPr>
        <w:t>Ovaj pravilnik stupa na snagu osmog dana od dana objavljivanja u „Službenom glasniku Republike Srbije”.</w:t>
      </w:r>
    </w:p>
    <w:p w:rsidR="00E3608D" w:rsidRPr="00E3608D" w:rsidRDefault="00E3608D" w:rsidP="00E3608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E3608D">
        <w:rPr>
          <w:rFonts w:ascii="inherit" w:eastAsia="Times New Roman" w:hAnsi="inherit" w:cs="Helvetica"/>
          <w:b/>
          <w:bCs/>
          <w:color w:val="333333"/>
          <w:sz w:val="27"/>
        </w:rPr>
        <w:t>PRILOZI</w:t>
      </w:r>
    </w:p>
    <w:p w:rsidR="00E3608D" w:rsidRPr="00E3608D" w:rsidRDefault="00E3608D" w:rsidP="00E3608D">
      <w:pPr>
        <w:shd w:val="clear" w:color="auto" w:fill="FFFFFF"/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D23232"/>
          <w:sz w:val="30"/>
          <w:szCs w:val="30"/>
        </w:rPr>
      </w:pPr>
      <w:r w:rsidRPr="00E3608D">
        <w:rPr>
          <w:rFonts w:ascii="inherit" w:eastAsia="Times New Roman" w:hAnsi="inherit" w:cs="Helvetica"/>
          <w:b/>
          <w:bCs/>
          <w:color w:val="D23232"/>
          <w:sz w:val="30"/>
          <w:szCs w:val="30"/>
          <w:bdr w:val="none" w:sz="0" w:space="0" w:color="auto" w:frame="1"/>
        </w:rPr>
        <w:t>Prilog 1 – </w:t>
      </w:r>
      <w:hyperlink r:id="rId12" w:tgtFrame="_blank" w:history="1">
        <w:r w:rsidRPr="00E3608D">
          <w:rPr>
            <w:rFonts w:ascii="inherit" w:eastAsia="Times New Roman" w:hAnsi="inherit" w:cs="Helvetica"/>
            <w:b/>
            <w:bCs/>
            <w:color w:val="D23232"/>
            <w:sz w:val="30"/>
            <w:u w:val="single"/>
          </w:rPr>
          <w:t>Bilans stanja</w:t>
        </w:r>
      </w:hyperlink>
      <w:r w:rsidRPr="00E3608D">
        <w:rPr>
          <w:rFonts w:ascii="inherit" w:eastAsia="Times New Roman" w:hAnsi="inherit" w:cs="Helvetica"/>
          <w:b/>
          <w:bCs/>
          <w:color w:val="D23232"/>
          <w:sz w:val="30"/>
          <w:szCs w:val="30"/>
          <w:bdr w:val="none" w:sz="0" w:space="0" w:color="auto" w:frame="1"/>
        </w:rPr>
        <w:t> na dan _________ godine</w:t>
      </w:r>
    </w:p>
    <w:p w:rsidR="00E3608D" w:rsidRPr="00E3608D" w:rsidRDefault="00E3608D" w:rsidP="00E3608D">
      <w:pPr>
        <w:shd w:val="clear" w:color="auto" w:fill="FFFFFF"/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D23232"/>
          <w:sz w:val="30"/>
          <w:szCs w:val="30"/>
        </w:rPr>
      </w:pPr>
      <w:r w:rsidRPr="00E3608D">
        <w:rPr>
          <w:rFonts w:ascii="inherit" w:eastAsia="Times New Roman" w:hAnsi="inherit" w:cs="Helvetica"/>
          <w:b/>
          <w:bCs/>
          <w:color w:val="D23232"/>
          <w:sz w:val="30"/>
          <w:szCs w:val="30"/>
          <w:bdr w:val="none" w:sz="0" w:space="0" w:color="auto" w:frame="1"/>
        </w:rPr>
        <w:t>Prilog 2 – </w:t>
      </w:r>
      <w:hyperlink r:id="rId13" w:tgtFrame="_blank" w:history="1">
        <w:r w:rsidRPr="00E3608D">
          <w:rPr>
            <w:rFonts w:ascii="inherit" w:eastAsia="Times New Roman" w:hAnsi="inherit" w:cs="Helvetica"/>
            <w:b/>
            <w:bCs/>
            <w:color w:val="D23232"/>
            <w:sz w:val="30"/>
            <w:u w:val="single"/>
          </w:rPr>
          <w:t>Bilans uspeha</w:t>
        </w:r>
      </w:hyperlink>
      <w:r w:rsidRPr="00E3608D">
        <w:rPr>
          <w:rFonts w:ascii="inherit" w:eastAsia="Times New Roman" w:hAnsi="inherit" w:cs="Helvetica"/>
          <w:b/>
          <w:bCs/>
          <w:color w:val="D23232"/>
          <w:sz w:val="30"/>
          <w:szCs w:val="30"/>
          <w:bdr w:val="none" w:sz="0" w:space="0" w:color="auto" w:frame="1"/>
        </w:rPr>
        <w:t> u periodu od _______ do ________</w:t>
      </w:r>
    </w:p>
    <w:p w:rsidR="00E3608D" w:rsidRPr="00E3608D" w:rsidRDefault="00E3608D" w:rsidP="00E3608D">
      <w:pPr>
        <w:shd w:val="clear" w:color="auto" w:fill="FFFFFF"/>
        <w:spacing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D23232"/>
          <w:sz w:val="30"/>
          <w:szCs w:val="30"/>
        </w:rPr>
      </w:pPr>
      <w:r w:rsidRPr="00E3608D">
        <w:rPr>
          <w:rFonts w:ascii="inherit" w:eastAsia="Times New Roman" w:hAnsi="inherit" w:cs="Helvetica"/>
          <w:b/>
          <w:bCs/>
          <w:color w:val="D23232"/>
          <w:sz w:val="30"/>
          <w:szCs w:val="30"/>
          <w:bdr w:val="none" w:sz="0" w:space="0" w:color="auto" w:frame="1"/>
        </w:rPr>
        <w:t>Prilog 3 – </w:t>
      </w:r>
      <w:hyperlink r:id="rId14" w:tgtFrame="_blank" w:history="1">
        <w:r w:rsidRPr="00E3608D">
          <w:rPr>
            <w:rFonts w:ascii="inherit" w:eastAsia="Times New Roman" w:hAnsi="inherit" w:cs="Helvetica"/>
            <w:b/>
            <w:bCs/>
            <w:color w:val="D23232"/>
            <w:sz w:val="30"/>
            <w:u w:val="single"/>
          </w:rPr>
          <w:t>Statistički izveštaj</w:t>
        </w:r>
      </w:hyperlink>
      <w:r w:rsidRPr="00E3608D">
        <w:rPr>
          <w:rFonts w:ascii="inherit" w:eastAsia="Times New Roman" w:hAnsi="inherit" w:cs="Helvetica"/>
          <w:b/>
          <w:bCs/>
          <w:color w:val="D23232"/>
          <w:sz w:val="30"/>
          <w:szCs w:val="30"/>
          <w:bdr w:val="none" w:sz="0" w:space="0" w:color="auto" w:frame="1"/>
        </w:rPr>
        <w:t> za 20__. godinu</w:t>
      </w:r>
    </w:p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E3608D"/>
    <w:rsid w:val="007015E6"/>
    <w:rsid w:val="00A814FE"/>
    <w:rsid w:val="00E3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1">
    <w:name w:val="heading 1"/>
    <w:basedOn w:val="Normal"/>
    <w:link w:val="Heading1Char"/>
    <w:uiPriority w:val="9"/>
    <w:qFormat/>
    <w:rsid w:val="00E360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E360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360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3608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0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3608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3608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3608D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category">
    <w:name w:val="category"/>
    <w:basedOn w:val="DefaultParagraphFont"/>
    <w:rsid w:val="00E3608D"/>
  </w:style>
  <w:style w:type="character" w:styleId="Hyperlink">
    <w:name w:val="Hyperlink"/>
    <w:basedOn w:val="DefaultParagraphFont"/>
    <w:uiPriority w:val="99"/>
    <w:semiHidden/>
    <w:unhideWhenUsed/>
    <w:rsid w:val="00E3608D"/>
    <w:rPr>
      <w:color w:val="0000FF"/>
      <w:u w:val="single"/>
    </w:rPr>
  </w:style>
  <w:style w:type="character" w:customStyle="1" w:styleId="tags">
    <w:name w:val="tags"/>
    <w:basedOn w:val="DefaultParagraphFont"/>
    <w:rsid w:val="00E3608D"/>
  </w:style>
  <w:style w:type="paragraph" w:customStyle="1" w:styleId="toctitle">
    <w:name w:val="toc_title"/>
    <w:basedOn w:val="Normal"/>
    <w:rsid w:val="00E3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_toggle"/>
    <w:basedOn w:val="DefaultParagraphFont"/>
    <w:rsid w:val="00E3608D"/>
  </w:style>
  <w:style w:type="character" w:customStyle="1" w:styleId="t">
    <w:name w:val="t"/>
    <w:basedOn w:val="DefaultParagraphFont"/>
    <w:rsid w:val="00E3608D"/>
  </w:style>
  <w:style w:type="paragraph" w:styleId="NormalWeb">
    <w:name w:val="Normal (Web)"/>
    <w:basedOn w:val="Normal"/>
    <w:uiPriority w:val="99"/>
    <w:semiHidden/>
    <w:unhideWhenUsed/>
    <w:rsid w:val="00E3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60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9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8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977">
          <w:marLeft w:val="0"/>
          <w:marRight w:val="0"/>
          <w:marTop w:val="54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0593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  <w:div w:id="16778804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obilten.com/tag/udruzenja/" TargetMode="External"/><Relationship Id="rId13" Type="http://schemas.openxmlformats.org/officeDocument/2006/relationships/hyperlink" Target="https://www.neobilten.com/wp-content/uploads/2020/06/bilans-uspeha-ostali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eobilten.com/tag/statistika/" TargetMode="External"/><Relationship Id="rId12" Type="http://schemas.openxmlformats.org/officeDocument/2006/relationships/hyperlink" Target="https://www.neobilten.com/wp-content/uploads/2020/06/bilans-stanja-ostali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eobilten.com/tag/pravilnik/" TargetMode="External"/><Relationship Id="rId11" Type="http://schemas.openxmlformats.org/officeDocument/2006/relationships/hyperlink" Target="https://www.neobilten.com/objavljen-sluzbeni-glasnik-rs-broj-89-od-25-6-2020-godine/" TargetMode="External"/><Relationship Id="rId5" Type="http://schemas.openxmlformats.org/officeDocument/2006/relationships/hyperlink" Target="https://www.neobilten.com/kategorija/oblast/04-racunovodstvo-revizij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neobilten.com/pravilnik-o-sadrzini-i-formi-obrazaca-finansijskih-izvestaja-i-sadrzini-i-formi-obrasca-statistickog-izvestaja-za-druga-pravna-lica/" TargetMode="External"/><Relationship Id="rId4" Type="http://schemas.openxmlformats.org/officeDocument/2006/relationships/hyperlink" Target="https://www.neobilten.com/kategorija/vrsta/propisi/" TargetMode="External"/><Relationship Id="rId9" Type="http://schemas.openxmlformats.org/officeDocument/2006/relationships/hyperlink" Target="https://www.neobilten.com/tag/finansijski-izvestaji/" TargetMode="External"/><Relationship Id="rId14" Type="http://schemas.openxmlformats.org/officeDocument/2006/relationships/hyperlink" Target="https://www.neobilten.com/wp-content/uploads/2020/06/statisticki-izvestaj-ostal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4431</Words>
  <Characters>25263</Characters>
  <Application>Microsoft Office Word</Application>
  <DocSecurity>0</DocSecurity>
  <Lines>210</Lines>
  <Paragraphs>59</Paragraphs>
  <ScaleCrop>false</ScaleCrop>
  <Company/>
  <LinksUpToDate>false</LinksUpToDate>
  <CharactersWithSpaces>29635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2025-08-22T14:43:00Z</dcterms:created>
  <dcterms:modified xsi:type="dcterms:W3CDTF">2025-08-22T14:44:00Z</dcterms:modified>
</cp:coreProperties>
</file>