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FF" w:rsidRPr="008152FF" w:rsidRDefault="008152FF" w:rsidP="008152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2F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52FF" w:rsidRPr="008152FF" w:rsidRDefault="008152FF" w:rsidP="008152FF">
      <w:pPr>
        <w:spacing w:after="0" w:line="240" w:lineRule="auto"/>
        <w:rPr>
          <w:rFonts w:ascii="open_sansregular" w:eastAsia="Times New Roman" w:hAnsi="open_sansregular" w:cs="Times New Roman"/>
          <w:vanish/>
          <w:sz w:val="24"/>
          <w:szCs w:val="24"/>
        </w:rPr>
      </w:pPr>
    </w:p>
    <w:tbl>
      <w:tblPr>
        <w:tblW w:w="11429" w:type="dxa"/>
        <w:tblInd w:w="-9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8504"/>
        <w:gridCol w:w="2250"/>
      </w:tblGrid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b/>
                <w:bCs/>
                <w:caps/>
                <w:color w:val="4A579E"/>
                <w:sz w:val="20"/>
              </w:rPr>
              <w:t>OSTVARENI DOHODAK U TOKU GODINE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7" type="#_x0000_t75" style="width:1in;height:18pt" o:ole="">
                  <v:imagedata r:id="rId5" o:title=""/>
                </v:shape>
                <w:control r:id="rId6" w:name="DefaultOcxName" w:shapeid="_x0000_i1267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NEOPOREZIV IZNOS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093" type="#_x0000_t75" style="width:1in;height:18pt" o:ole="">
                  <v:imagedata r:id="rId7" o:title=""/>
                </v:shape>
                <w:control r:id="rId8" w:name="DefaultOcxName1" w:shapeid="_x0000_i1093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b/>
                <w:bCs/>
                <w:caps/>
                <w:color w:val="4A579E"/>
                <w:sz w:val="20"/>
              </w:rPr>
              <w:t>DOHODAK ZA OPOREZIVANJE (1-2)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05" type="#_x0000_t75" style="width:1in;height:18pt" o:ole="">
                  <v:imagedata r:id="rId9" o:title=""/>
                </v:shape>
                <w:control r:id="rId10" w:name="DefaultOcxName2" w:shapeid="_x0000_i1105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b/>
                <w:bCs/>
                <w:caps/>
                <w:color w:val="4A579E"/>
                <w:sz w:val="20"/>
              </w:rPr>
              <w:t>LIČNI ODBICI (5+7, ALI NE VIŠE OD 50% OD 3)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17" type="#_x0000_t75" style="width:1in;height:18pt" o:ole="">
                  <v:imagedata r:id="rId11" o:title=""/>
                </v:shape>
                <w:control r:id="rId12" w:name="DefaultOcxName3" w:shapeid="_x0000_i1117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LIČNI ODBITAK ZA PORESKOG OBVEZNIKA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30" type="#_x0000_t75" style="width:1in;height:18pt" o:ole="">
                  <v:imagedata r:id="rId13" o:title=""/>
                </v:shape>
                <w:control r:id="rId14" w:name="DefaultOcxName4" w:shapeid="_x0000_i1130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BROJ IZDRŽAVANIH ČLANOVA PORODICE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 xml:space="preserve">                        </w:t>
            </w: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054" type="#_x0000_t75" style="width:52.5pt;height:18pt" o:ole="">
                  <v:imagedata r:id="rId15" o:title=""/>
                </v:shape>
                <w:control r:id="rId16" w:name="DefaultOcxName5" w:shapeid="_x0000_i1054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LIČNI ODBITAK ZA IZDRŽAVANJE ČLANOVA PORODICE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42" type="#_x0000_t75" style="width:1in;height:18pt" o:ole="">
                  <v:imagedata r:id="rId17" o:title=""/>
                </v:shape>
                <w:control r:id="rId18" w:name="DefaultOcxName6" w:shapeid="_x0000_i1142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b/>
                <w:bCs/>
                <w:caps/>
                <w:color w:val="4A579E"/>
                <w:sz w:val="20"/>
              </w:rPr>
              <w:t>OPOREZIVI DOHODAK (3-4)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54" type="#_x0000_t75" style="width:1in;height:18pt" o:ole="">
                  <v:imagedata r:id="rId19" o:title=""/>
                </v:shape>
                <w:control r:id="rId20" w:name="DefaultOcxName7" w:shapeid="_x0000_i1154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OSNOVICA NA KOJU SE PLAĆA POREZ OD 10%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66" type="#_x0000_t75" style="width:1in;height:18pt" o:ole="">
                  <v:imagedata r:id="rId21" o:title=""/>
                </v:shape>
                <w:control r:id="rId22" w:name="DefaultOcxName8" w:shapeid="_x0000_i1166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OSNOVICA NA KOJU SE PLAĆA POREZ OD 15%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050" type="#_x0000_t75" style="width:1in;height:18pt" o:ole="">
                  <v:imagedata r:id="rId23" o:title=""/>
                </v:shape>
                <w:control r:id="rId24" w:name="DefaultOcxName9" w:shapeid="_x0000_i1050"/>
              </w:object>
            </w:r>
          </w:p>
        </w:tc>
      </w:tr>
      <w:tr w:rsidR="008152FF" w:rsidRPr="008152FF" w:rsidTr="008152FF">
        <w:tc>
          <w:tcPr>
            <w:tcW w:w="675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b/>
                <w:bCs/>
                <w:caps/>
                <w:color w:val="4A579E"/>
                <w:sz w:val="20"/>
              </w:rPr>
              <w:t>IZNOS GODIŠNJEG POREZA</w:t>
            </w:r>
          </w:p>
        </w:tc>
        <w:tc>
          <w:tcPr>
            <w:tcW w:w="22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object w:dxaOrig="1440" w:dyaOrig="360">
                <v:shape id="_x0000_i1178" type="#_x0000_t75" style="width:1in;height:18pt" o:ole="">
                  <v:imagedata r:id="rId25" o:title=""/>
                </v:shape>
                <w:control r:id="rId26" w:name="DefaultOcxName10" w:shapeid="_x0000_i1178"/>
              </w:object>
            </w:r>
          </w:p>
        </w:tc>
      </w:tr>
    </w:tbl>
    <w:tbl>
      <w:tblPr>
        <w:tblpPr w:leftFromText="180" w:rightFromText="180" w:vertAnchor="text" w:horzAnchor="margin" w:tblpXSpec="center" w:tblpY="-5730"/>
        <w:tblW w:w="11429" w:type="dxa"/>
        <w:shd w:val="clear" w:color="auto" w:fill="EDF0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  <w:gridCol w:w="2215"/>
      </w:tblGrid>
      <w:tr w:rsidR="008152FF" w:rsidRPr="008152FF" w:rsidTr="008152FF">
        <w:trPr>
          <w:trHeight w:val="867"/>
        </w:trPr>
        <w:tc>
          <w:tcPr>
            <w:tcW w:w="9214" w:type="dxa"/>
            <w:shd w:val="clear" w:color="auto" w:fill="EDF0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801E3" w:rsidRPr="002801E3" w:rsidRDefault="002801E3" w:rsidP="002801E3">
            <w:pPr>
              <w:shd w:val="clear" w:color="auto" w:fill="FFFFFF"/>
              <w:spacing w:before="300" w:after="150" w:line="240" w:lineRule="auto"/>
              <w:jc w:val="center"/>
              <w:outlineLvl w:val="1"/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</w:pP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>Godišnji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>porez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>na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>dohodak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45"/>
                <w:szCs w:val="45"/>
              </w:rPr>
              <w:t>građana</w:t>
            </w:r>
            <w:proofErr w:type="spellEnd"/>
          </w:p>
          <w:p w:rsidR="002801E3" w:rsidRPr="002801E3" w:rsidRDefault="002801E3" w:rsidP="002801E3">
            <w:pPr>
              <w:shd w:val="clear" w:color="auto" w:fill="FFFFFF"/>
              <w:spacing w:after="150" w:line="240" w:lineRule="auto"/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</w:pP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Ispred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vas je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kalkulator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za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izračunavanje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obaveze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za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godišnji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porez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na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dohodak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građana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.</w:t>
            </w:r>
          </w:p>
          <w:p w:rsidR="002801E3" w:rsidRPr="002801E3" w:rsidRDefault="002801E3" w:rsidP="002801E3">
            <w:pPr>
              <w:shd w:val="clear" w:color="auto" w:fill="FFFFFF"/>
              <w:spacing w:after="150" w:line="240" w:lineRule="auto"/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</w:pP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Detaljnije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o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godišnjem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porezu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na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dohodak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građana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možete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pročitati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u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sledećim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tekstovima</w:t>
            </w:r>
            <w:proofErr w:type="spellEnd"/>
            <w:r w:rsidRPr="002801E3"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  <w:t>:</w:t>
            </w:r>
          </w:p>
          <w:p w:rsidR="002801E3" w:rsidRPr="002801E3" w:rsidRDefault="002801E3" w:rsidP="002801E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</w:pPr>
            <w:hyperlink r:id="rId27" w:history="1"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Godišnji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porez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na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dohodak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građana</w:t>
              </w:r>
              <w:proofErr w:type="spellEnd"/>
            </w:hyperlink>
          </w:p>
          <w:p w:rsidR="002801E3" w:rsidRPr="002801E3" w:rsidRDefault="002801E3" w:rsidP="002801E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333333"/>
                <w:sz w:val="21"/>
                <w:szCs w:val="21"/>
              </w:rPr>
            </w:pPr>
            <w:hyperlink r:id="rId28" w:history="1"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PPP-PO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i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godišnji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porez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na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dohodak</w:t>
              </w:r>
              <w:proofErr w:type="spellEnd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 xml:space="preserve"> </w:t>
              </w:r>
              <w:proofErr w:type="spellStart"/>
              <w:r w:rsidRPr="002801E3">
                <w:rPr>
                  <w:rFonts w:ascii="open_sansregular" w:eastAsia="Times New Roman" w:hAnsi="open_sansregular" w:cs="Times New Roman"/>
                  <w:b/>
                  <w:bCs/>
                  <w:color w:val="337AB7"/>
                  <w:sz w:val="21"/>
                </w:rPr>
                <w:t>građana</w:t>
              </w:r>
              <w:proofErr w:type="spellEnd"/>
            </w:hyperlink>
          </w:p>
          <w:p w:rsidR="008152FF" w:rsidRPr="008152FF" w:rsidRDefault="008152FF" w:rsidP="008152FF">
            <w:pPr>
              <w:spacing w:after="300" w:line="240" w:lineRule="auto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br/>
              <w:t>OPIS:</w:t>
            </w:r>
          </w:p>
        </w:tc>
        <w:tc>
          <w:tcPr>
            <w:tcW w:w="2215" w:type="dxa"/>
            <w:shd w:val="clear" w:color="auto" w:fill="EDF0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300" w:line="240" w:lineRule="auto"/>
              <w:jc w:val="center"/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</w:pPr>
            <w:r w:rsidRPr="008152FF">
              <w:rPr>
                <w:rFonts w:ascii="open_sansregular" w:eastAsia="Times New Roman" w:hAnsi="open_sansregular" w:cs="Times New Roman"/>
                <w:caps/>
                <w:color w:val="353D4B"/>
                <w:sz w:val="20"/>
                <w:szCs w:val="20"/>
              </w:rPr>
              <w:t>IZNOS:</w:t>
            </w:r>
          </w:p>
        </w:tc>
      </w:tr>
    </w:tbl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8152FF" w:rsidRPr="008152FF" w:rsidRDefault="008152FF" w:rsidP="008152FF">
      <w:pPr>
        <w:spacing w:line="240" w:lineRule="auto"/>
        <w:rPr>
          <w:rFonts w:ascii="open_sansregular" w:eastAsia="Times New Roman" w:hAnsi="open_sansregular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lastRenderedPageBreak/>
        <w:t>IZRAČUNAJRESETUJ</w:t>
      </w:r>
    </w:p>
    <w:p w:rsidR="008152FF" w:rsidRPr="008152FF" w:rsidRDefault="008152FF" w:rsidP="008152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2F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152FF" w:rsidRPr="008152FF" w:rsidRDefault="008152FF" w:rsidP="008152FF">
      <w:pPr>
        <w:spacing w:after="150" w:line="240" w:lineRule="auto"/>
        <w:jc w:val="center"/>
        <w:rPr>
          <w:rFonts w:ascii="open_sansregular" w:eastAsia="Times New Roman" w:hAnsi="open_sansregular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Primer: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Obračunati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porez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proofErr w:type="gramStart"/>
      <w:r w:rsidRPr="008152FF">
        <w:rPr>
          <w:rFonts w:ascii="open_sansregular" w:eastAsia="Times New Roman" w:hAnsi="open_sansregular" w:cs="Times New Roman"/>
          <w:sz w:val="24"/>
          <w:szCs w:val="24"/>
        </w:rPr>
        <w:t>na</w:t>
      </w:r>
      <w:proofErr w:type="spellEnd"/>
      <w:proofErr w:type="gram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dohodak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sledećoj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PPP-PO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prijavi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>:</w:t>
      </w:r>
    </w:p>
    <w:tbl>
      <w:tblPr>
        <w:tblW w:w="113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9"/>
        <w:gridCol w:w="1173"/>
        <w:gridCol w:w="1975"/>
        <w:gridCol w:w="1239"/>
        <w:gridCol w:w="930"/>
        <w:gridCol w:w="2123"/>
        <w:gridCol w:w="2136"/>
      </w:tblGrid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Šifra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vrste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prihoda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isplaćena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fizičkom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licu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Bruto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prihod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Normirani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troškovi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poreske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olakšice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druga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umanjena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Poreska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osnovica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Porez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Doprinosi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obavezno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socijalno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osiguranje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na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teret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Doprinosi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obavezno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socijalno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osiguranje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na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teret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poslodavca</w:t>
            </w:r>
            <w:proofErr w:type="spellEnd"/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3.7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Prihodi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iz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radnog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odnosa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101101000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8.039.240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231.600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7.807.640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780.764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916.137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743.499</w:t>
            </w:r>
          </w:p>
        </w:tc>
      </w:tr>
    </w:tbl>
    <w:p w:rsidR="008152FF" w:rsidRPr="008152FF" w:rsidRDefault="008152FF" w:rsidP="008152FF">
      <w:pPr>
        <w:spacing w:after="150" w:line="240" w:lineRule="auto"/>
        <w:jc w:val="center"/>
        <w:rPr>
          <w:rFonts w:ascii="open_sansregular" w:eastAsia="Times New Roman" w:hAnsi="open_sansregular" w:cs="Times New Roman"/>
          <w:sz w:val="24"/>
          <w:szCs w:val="24"/>
        </w:rPr>
      </w:pPr>
      <w:proofErr w:type="spellStart"/>
      <w:r w:rsidRPr="008152FF">
        <w:rPr>
          <w:rFonts w:ascii="open_sansregular" w:eastAsia="Times New Roman" w:hAnsi="open_sansregular" w:cs="Times New Roman"/>
          <w:b/>
          <w:bCs/>
          <w:sz w:val="24"/>
          <w:szCs w:val="24"/>
        </w:rPr>
        <w:t>Obračun</w:t>
      </w:r>
      <w:proofErr w:type="spellEnd"/>
      <w:r w:rsidRPr="008152FF">
        <w:rPr>
          <w:rFonts w:ascii="open_sansregular" w:eastAsia="Times New Roman" w:hAnsi="open_sansregular" w:cs="Times New Roman"/>
          <w:b/>
          <w:bCs/>
          <w:sz w:val="24"/>
          <w:szCs w:val="24"/>
        </w:rPr>
        <w:t>:</w:t>
      </w:r>
    </w:p>
    <w:tbl>
      <w:tblPr>
        <w:tblW w:w="113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8939"/>
        <w:gridCol w:w="1809"/>
      </w:tblGrid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Ostvareni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dohodak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toku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godine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polje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u PPP PO 3.4 - (3.5 + 3.6))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6.110.739,00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Neoporeziv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4.874.508,00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Dohodak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oporezivanje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(1 - 2)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1,236,231,00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Lični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odbici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(5 + 7,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ali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ne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više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od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50%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od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3)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618,115,50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Lični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odbitak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za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poreskog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obveznika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649.934,00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Broj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izdržavanih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članova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porodice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2,00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Lični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odbitak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za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izdržavanje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članova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porodice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487,450,00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Oporezivi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>dohodak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b/>
                <w:bCs/>
                <w:sz w:val="24"/>
                <w:szCs w:val="24"/>
              </w:rPr>
              <w:t xml:space="preserve"> (3 - 4)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618,115,50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Osnovica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na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koju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se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plaća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porez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od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618,115,50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Osnovica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na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koju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se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plaća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porez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od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0,00</w:t>
            </w:r>
          </w:p>
        </w:tc>
      </w:tr>
      <w:tr w:rsidR="008152FF" w:rsidRPr="008152FF" w:rsidTr="008152FF">
        <w:trPr>
          <w:jc w:val="center"/>
        </w:trPr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center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Iznos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godišnjeg</w:t>
            </w:r>
            <w:proofErr w:type="spellEnd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 xml:space="preserve"> </w:t>
            </w:r>
            <w:proofErr w:type="spellStart"/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poreza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2FF" w:rsidRPr="008152FF" w:rsidRDefault="008152FF" w:rsidP="008152FF">
            <w:pPr>
              <w:spacing w:after="450" w:line="240" w:lineRule="auto"/>
              <w:jc w:val="right"/>
              <w:rPr>
                <w:rFonts w:ascii="open_sansregular" w:eastAsia="Times New Roman" w:hAnsi="open_sansregular" w:cs="Times New Roman"/>
                <w:sz w:val="24"/>
                <w:szCs w:val="24"/>
              </w:rPr>
            </w:pPr>
            <w:r w:rsidRPr="008152FF">
              <w:rPr>
                <w:rFonts w:ascii="open_sansregular" w:eastAsia="Times New Roman" w:hAnsi="open_sansregular" w:cs="Times New Roman"/>
                <w:sz w:val="24"/>
                <w:szCs w:val="24"/>
              </w:rPr>
              <w:t>61,812,00</w:t>
            </w:r>
          </w:p>
        </w:tc>
      </w:tr>
    </w:tbl>
    <w:p w:rsidR="008152FF" w:rsidRPr="008152FF" w:rsidRDefault="008152FF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  <w:proofErr w:type="spellStart"/>
      <w:r w:rsidRPr="008152FF">
        <w:rPr>
          <w:rFonts w:ascii="open_sansregular" w:eastAsia="Times New Roman" w:hAnsi="open_sansregular" w:cs="Times New Roman"/>
          <w:b/>
          <w:bCs/>
          <w:sz w:val="24"/>
          <w:szCs w:val="24"/>
        </w:rPr>
        <w:t>Objašnjenje</w:t>
      </w:r>
      <w:proofErr w:type="spellEnd"/>
      <w:r w:rsidRPr="008152FF">
        <w:rPr>
          <w:rFonts w:ascii="open_sansregular" w:eastAsia="Times New Roman" w:hAnsi="open_sansregular" w:cs="Times New Roman"/>
          <w:b/>
          <w:bCs/>
          <w:sz w:val="24"/>
          <w:szCs w:val="24"/>
        </w:rPr>
        <w:t>:</w:t>
      </w:r>
    </w:p>
    <w:p w:rsidR="008152FF" w:rsidRDefault="008152FF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Iznos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poreza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se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dobija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tako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što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se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na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oporezivi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dohodak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primeni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propisana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poreska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stopa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od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10%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na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dohodak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do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šestostruke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prosečne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godišnje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zarade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što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iznosi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9.749.016,00 RSD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15%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na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oporezivi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dohodak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preko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pomenutog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iznosa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.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Rok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za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podnošenje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prijave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godišnjeg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poreza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proofErr w:type="gramStart"/>
      <w:r w:rsidRPr="008152FF">
        <w:rPr>
          <w:rFonts w:ascii="open_sansregular" w:eastAsia="Times New Roman" w:hAnsi="open_sansregular" w:cs="Times New Roman"/>
          <w:sz w:val="24"/>
          <w:szCs w:val="24"/>
        </w:rPr>
        <w:t>na</w:t>
      </w:r>
      <w:proofErr w:type="spellEnd"/>
      <w:proofErr w:type="gram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dohodak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građana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</w:t>
      </w:r>
      <w:proofErr w:type="spellStart"/>
      <w:r w:rsidRPr="008152FF">
        <w:rPr>
          <w:rFonts w:ascii="open_sansregular" w:eastAsia="Times New Roman" w:hAnsi="open_sansregular" w:cs="Times New Roman"/>
          <w:sz w:val="24"/>
          <w:szCs w:val="24"/>
        </w:rPr>
        <w:t>za</w:t>
      </w:r>
      <w:proofErr w:type="spell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2024. </w:t>
      </w:r>
      <w:proofErr w:type="spellStart"/>
      <w:proofErr w:type="gramStart"/>
      <w:r w:rsidRPr="008152FF">
        <w:rPr>
          <w:rFonts w:ascii="open_sansregular" w:eastAsia="Times New Roman" w:hAnsi="open_sansregular" w:cs="Times New Roman"/>
          <w:sz w:val="24"/>
          <w:szCs w:val="24"/>
        </w:rPr>
        <w:t>godinu</w:t>
      </w:r>
      <w:proofErr w:type="spellEnd"/>
      <w:proofErr w:type="gram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je 15. </w:t>
      </w:r>
      <w:proofErr w:type="spellStart"/>
      <w:proofErr w:type="gramStart"/>
      <w:r w:rsidRPr="008152FF">
        <w:rPr>
          <w:rFonts w:ascii="open_sansregular" w:eastAsia="Times New Roman" w:hAnsi="open_sansregular" w:cs="Times New Roman"/>
          <w:sz w:val="24"/>
          <w:szCs w:val="24"/>
        </w:rPr>
        <w:t>maj</w:t>
      </w:r>
      <w:proofErr w:type="spellEnd"/>
      <w:proofErr w:type="gramEnd"/>
      <w:r w:rsidRPr="008152FF">
        <w:rPr>
          <w:rFonts w:ascii="open_sansregular" w:eastAsia="Times New Roman" w:hAnsi="open_sansregular" w:cs="Times New Roman"/>
          <w:sz w:val="24"/>
          <w:szCs w:val="24"/>
        </w:rPr>
        <w:t xml:space="preserve"> 2025. </w:t>
      </w:r>
      <w:proofErr w:type="spellStart"/>
      <w:proofErr w:type="gramStart"/>
      <w:r w:rsidRPr="008152FF">
        <w:rPr>
          <w:rFonts w:ascii="open_sansregular" w:eastAsia="Times New Roman" w:hAnsi="open_sansregular" w:cs="Times New Roman"/>
          <w:sz w:val="24"/>
          <w:szCs w:val="24"/>
        </w:rPr>
        <w:t>godine</w:t>
      </w:r>
      <w:proofErr w:type="spellEnd"/>
      <w:proofErr w:type="gramEnd"/>
      <w:r w:rsidRPr="008152FF">
        <w:rPr>
          <w:rFonts w:ascii="open_sansregular" w:eastAsia="Times New Roman" w:hAnsi="open_sansregular" w:cs="Times New Roman"/>
          <w:sz w:val="24"/>
          <w:szCs w:val="24"/>
        </w:rPr>
        <w:t>.</w:t>
      </w: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2801E3" w:rsidRPr="008152FF" w:rsidRDefault="002801E3" w:rsidP="008152FF">
      <w:pPr>
        <w:spacing w:after="150" w:line="240" w:lineRule="auto"/>
        <w:rPr>
          <w:rFonts w:ascii="open_sansregular" w:eastAsia="Times New Roman" w:hAnsi="open_sansregular" w:cs="Times New Roman"/>
          <w:sz w:val="24"/>
          <w:szCs w:val="24"/>
        </w:rPr>
      </w:pP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begin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instrText xml:space="preserve"> HYPERLINK "https://aktivasistem.com/propisi/" </w:instrText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separate"/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color w:val="FFFFFF"/>
          <w:sz w:val="24"/>
          <w:szCs w:val="24"/>
        </w:rPr>
        <w:t>PROPISI</w:t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end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begin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instrText xml:space="preserve"> HYPERLINK "https://aktivasistem.com/obrasci/" </w:instrText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separate"/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color w:val="FFFFFF"/>
          <w:sz w:val="24"/>
          <w:szCs w:val="24"/>
        </w:rPr>
        <w:t>OBRASCI</w:t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end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begin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instrText xml:space="preserve"> HYPERLINK "https://aktivasistem.com/strucni-tekstovi/" </w:instrText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separate"/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color w:val="FFFFFF"/>
          <w:sz w:val="24"/>
          <w:szCs w:val="24"/>
        </w:rPr>
        <w:t>STRUČNI TEKSTOVI</w:t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end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begin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instrText xml:space="preserve"> HYPERLINK "https://aktivasistem.com/kalkulatori-zarade-ostali-prihodi-preduzetnik-kontrolni-broj/" </w:instrText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separate"/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color w:val="FFFFFF"/>
          <w:sz w:val="24"/>
          <w:szCs w:val="24"/>
        </w:rPr>
        <w:t>KALKULATORI</w:t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end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begin"/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instrText xml:space="preserve"> HYPERLINK "https://aktivasistem.com/korisni-linkovi/" </w:instrText>
      </w: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separate"/>
      </w:r>
    </w:p>
    <w:p w:rsidR="008152FF" w:rsidRPr="008152FF" w:rsidRDefault="008152FF" w:rsidP="00815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2FF">
        <w:rPr>
          <w:rFonts w:ascii="open_sansregular" w:eastAsia="Times New Roman" w:hAnsi="open_sansregular" w:cs="Times New Roman"/>
          <w:color w:val="FFFFFF"/>
          <w:sz w:val="24"/>
          <w:szCs w:val="24"/>
        </w:rPr>
        <w:t>KORISNI LINKOVI</w:t>
      </w:r>
    </w:p>
    <w:p w:rsidR="007015E6" w:rsidRDefault="008152FF" w:rsidP="002801E3">
      <w:pPr>
        <w:spacing w:after="0" w:line="240" w:lineRule="auto"/>
      </w:pPr>
      <w:r w:rsidRPr="008152FF">
        <w:rPr>
          <w:rFonts w:ascii="open_sansregular" w:eastAsia="Times New Roman" w:hAnsi="open_sansregular" w:cs="Times New Roman"/>
          <w:sz w:val="24"/>
          <w:szCs w:val="24"/>
        </w:rPr>
        <w:fldChar w:fldCharType="end"/>
      </w:r>
      <w:hyperlink r:id="rId29" w:history="1">
        <w:r w:rsidRPr="008152FF">
          <w:rPr>
            <w:rFonts w:ascii="open_sansregular" w:eastAsia="Times New Roman" w:hAnsi="open_sansregular" w:cs="Times New Roman"/>
            <w:color w:val="FFFFFF"/>
            <w:sz w:val="24"/>
            <w:szCs w:val="24"/>
          </w:rPr>
          <w:br/>
        </w:r>
      </w:hyperlink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7793"/>
    <w:multiLevelType w:val="multilevel"/>
    <w:tmpl w:val="4E2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152FF"/>
    <w:rsid w:val="002801E3"/>
    <w:rsid w:val="007015E6"/>
    <w:rsid w:val="007D59D4"/>
    <w:rsid w:val="0081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280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52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52FF"/>
    <w:rPr>
      <w:rFonts w:ascii="Arial" w:eastAsia="Times New Roman" w:hAnsi="Arial" w:cs="Arial"/>
      <w:vanish/>
      <w:sz w:val="16"/>
      <w:szCs w:val="16"/>
    </w:rPr>
  </w:style>
  <w:style w:type="character" w:customStyle="1" w:styleId="gpdg-blue-text">
    <w:name w:val="gpdg-blue-text"/>
    <w:basedOn w:val="DefaultParagraphFont"/>
    <w:rsid w:val="008152F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52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52F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52FF"/>
    <w:rPr>
      <w:color w:val="0000FF"/>
      <w:u w:val="single"/>
    </w:rPr>
  </w:style>
  <w:style w:type="character" w:customStyle="1" w:styleId="link-title">
    <w:name w:val="link-title"/>
    <w:basedOn w:val="DefaultParagraphFont"/>
    <w:rsid w:val="008152FF"/>
  </w:style>
  <w:style w:type="character" w:customStyle="1" w:styleId="Heading2Char">
    <w:name w:val="Heading 2 Char"/>
    <w:basedOn w:val="DefaultParagraphFont"/>
    <w:link w:val="Heading2"/>
    <w:uiPriority w:val="9"/>
    <w:rsid w:val="002801E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801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81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162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3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aktivasistem.com/informatori-poreske-uprave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hyperlink" Target="https://aktivasistem.com/news/obracun-godisnjeg-poreza-na-dohodak-gradjana/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aktivasistem.com/news/godisnji-porez-na-dohodak-gradjana/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2025-10-05T16:59:00Z</dcterms:created>
  <dcterms:modified xsi:type="dcterms:W3CDTF">2025-10-05T17:13:00Z</dcterms:modified>
</cp:coreProperties>
</file>